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b/>
          <w:bCs/>
          <w:sz w:val="32"/>
          <w:szCs w:val="32"/>
        </w:rPr>
      </w:pPr>
    </w:p>
    <w:p>
      <w:pPr>
        <w:spacing w:line="400" w:lineRule="exact"/>
        <w:jc w:val="center"/>
        <w:rPr>
          <w:rFonts w:ascii="黑体" w:eastAsia="黑体" w:cs="Times New Roman"/>
          <w:color w:val="000000"/>
          <w:sz w:val="36"/>
          <w:szCs w:val="36"/>
        </w:rPr>
      </w:pPr>
    </w:p>
    <w:p>
      <w:pPr>
        <w:spacing w:line="400" w:lineRule="exact"/>
        <w:jc w:val="center"/>
        <w:rPr>
          <w:rFonts w:hint="eastAsia" w:ascii="黑体" w:eastAsia="黑体" w:cs="Times New Roman"/>
          <w:color w:val="000000"/>
          <w:sz w:val="36"/>
          <w:szCs w:val="36"/>
        </w:rPr>
      </w:pPr>
    </w:p>
    <w:p>
      <w:pPr>
        <w:spacing w:line="480" w:lineRule="auto"/>
        <w:jc w:val="center"/>
        <w:rPr>
          <w:rFonts w:ascii="黑体" w:eastAsia="黑体"/>
          <w:color w:val="FFFFFF"/>
          <w:sz w:val="38"/>
          <w:szCs w:val="38"/>
        </w:rPr>
      </w:pPr>
    </w:p>
    <w:p>
      <w:pPr>
        <w:spacing w:line="360" w:lineRule="auto"/>
        <w:jc w:val="center"/>
        <w:rPr>
          <w:rFonts w:hint="eastAsia"/>
          <w:b/>
          <w:color w:val="FF0000"/>
          <w:spacing w:val="-20"/>
          <w:w w:val="60"/>
          <w:sz w:val="120"/>
          <w:szCs w:val="120"/>
          <w:lang w:eastAsia="zh-CN"/>
        </w:rPr>
      </w:pPr>
    </w:p>
    <w:p>
      <w:pPr>
        <w:spacing w:line="360" w:lineRule="auto"/>
        <w:jc w:val="center"/>
        <w:rPr>
          <w:rFonts w:hint="eastAsia" w:ascii="仿宋_GB2312" w:hAnsi="仿宋_GB2312" w:eastAsia="仿宋_GB2312" w:cs="仿宋_GB2312"/>
          <w:color w:val="000000"/>
          <w:sz w:val="36"/>
          <w:szCs w:val="36"/>
        </w:rPr>
      </w:pPr>
    </w:p>
    <w:p>
      <w:pPr>
        <w:spacing w:line="360" w:lineRule="auto"/>
        <w:jc w:val="center"/>
        <w:rPr>
          <w:rFonts w:ascii="方正小标宋简体" w:hAnsi="方正小标宋简体" w:eastAsia="方正小标宋简体" w:cs="方正小标宋简体"/>
          <w:bCs/>
          <w:sz w:val="10"/>
          <w:szCs w:val="10"/>
        </w:rPr>
      </w:pPr>
      <w:r>
        <w:rPr>
          <w:rFonts w:hint="eastAsia" w:ascii="仿宋_GB2312" w:hAnsi="仿宋_GB2312" w:eastAsia="仿宋_GB2312" w:cs="仿宋_GB2312"/>
          <w:color w:val="000000"/>
          <w:sz w:val="32"/>
          <w:szCs w:val="32"/>
        </w:rPr>
        <w:t>豫应院</w:t>
      </w:r>
      <w:r>
        <w:rPr>
          <w:rFonts w:hint="eastAsia" w:ascii="仿宋_GB2312" w:hAnsi="仿宋_GB2312" w:eastAsia="仿宋_GB2312" w:cs="仿宋_GB2312"/>
          <w:color w:val="000000"/>
          <w:sz w:val="32"/>
          <w:szCs w:val="32"/>
          <w:lang w:eastAsia="zh-CN"/>
        </w:rPr>
        <w:t>教</w:t>
      </w:r>
      <w:r>
        <w:rPr>
          <w:rStyle w:val="9"/>
          <w:rFonts w:hint="eastAsia" w:ascii="仿宋_GB2312" w:hAnsi="仿宋_GB2312" w:eastAsia="仿宋_GB2312" w:cs="仿宋_GB2312"/>
          <w:sz w:val="32"/>
          <w:szCs w:val="32"/>
        </w:rPr>
        <w:t>〔201</w:t>
      </w:r>
      <w:r>
        <w:rPr>
          <w:rStyle w:val="9"/>
          <w:rFonts w:hint="eastAsia" w:ascii="仿宋_GB2312" w:hAnsi="仿宋_GB2312" w:eastAsia="仿宋_GB2312" w:cs="仿宋_GB2312"/>
          <w:sz w:val="32"/>
          <w:szCs w:val="32"/>
          <w:lang w:val="en-US" w:eastAsia="zh-CN"/>
        </w:rPr>
        <w:t>8</w:t>
      </w:r>
      <w:r>
        <w:rPr>
          <w:rStyle w:val="9"/>
          <w:rFonts w:hint="eastAsia" w:ascii="仿宋_GB2312" w:hAnsi="仿宋_GB2312" w:eastAsia="仿宋_GB2312" w:cs="仿宋_GB2312"/>
          <w:sz w:val="32"/>
          <w:szCs w:val="32"/>
        </w:rPr>
        <w:t>〕</w:t>
      </w:r>
      <w:r>
        <w:rPr>
          <w:rStyle w:val="9"/>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color w:val="000000"/>
          <w:sz w:val="32"/>
          <w:szCs w:val="32"/>
        </w:rPr>
        <w:t>号</w:t>
      </w:r>
    </w:p>
    <w:p>
      <w:pPr>
        <w:keepNext w:val="0"/>
        <w:keepLines w:val="0"/>
        <w:pageBreakBefore w:val="0"/>
        <w:widowControl w:val="0"/>
        <w:tabs>
          <w:tab w:val="left" w:pos="46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eastAsia="方正小标宋简体"/>
          <w:color w:val="auto"/>
          <w:sz w:val="36"/>
          <w:szCs w:val="36"/>
        </w:rPr>
      </w:pPr>
    </w:p>
    <w:p>
      <w:pPr>
        <w:jc w:val="center"/>
        <w:rPr>
          <w:rFonts w:hint="eastAsia" w:ascii="方正小标宋简体" w:hAnsi="微软雅黑" w:eastAsia="方正小标宋简体"/>
          <w:sz w:val="36"/>
          <w:szCs w:val="36"/>
          <w:lang w:eastAsia="zh-CN"/>
        </w:rPr>
      </w:pPr>
      <w:r>
        <w:rPr>
          <w:rFonts w:hint="eastAsia" w:ascii="方正小标宋简体" w:hAnsi="微软雅黑" w:eastAsia="方正小标宋简体"/>
          <w:sz w:val="36"/>
          <w:szCs w:val="36"/>
          <w:lang w:eastAsia="zh-CN"/>
        </w:rPr>
        <w:t>河南应用技术职业学院</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关于开展2018年校级“教学工程”</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立项建设工作的通知</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校属各部门：</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贯彻国家及河南省中长期教育改革和发展规划纲要精神，进一步加强学校内涵建设，深化教育教学改革，提高人才培养质量，根据《河南应用技术职业学院教学工程项目管理办法（试行）》文件要求，经研究，我校拟开展2018年校级教学工程立项建设工作，现将有关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line="660" w:lineRule="exact"/>
        <w:ind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指导思想</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河南省教育厅有关教学工程立项建设的相关文件精神，以省级教学工程项目为重点参考建设项目，结合当前高职教育发展趋势和我校现阶段教育教学发展需要开展项目立项工作，通过项目建设切实促进学校教育教学水平和人才培养质量的提升，为争创教育教学标志性成果夯实建设基础。</w:t>
      </w:r>
    </w:p>
    <w:p>
      <w:pPr>
        <w:keepNext w:val="0"/>
        <w:keepLines w:val="0"/>
        <w:pageBreakBefore w:val="0"/>
        <w:widowControl w:val="0"/>
        <w:kinsoku/>
        <w:wordWrap/>
        <w:overflowPunct/>
        <w:topLinePunct w:val="0"/>
        <w:autoSpaceDE/>
        <w:autoSpaceDN/>
        <w:bidi w:val="0"/>
        <w:adjustRightInd/>
        <w:snapToGrid/>
        <w:spacing w:line="660" w:lineRule="exact"/>
        <w:ind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建设项目</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outlineLvl w:val="9"/>
        <w:rPr>
          <w:rFonts w:hint="eastAsia" w:ascii="仿宋_GB2312" w:hAnsi="仿宋_GB2312" w:eastAsia="仿宋_GB2312" w:cs="仿宋_GB2312"/>
          <w:sz w:val="30"/>
          <w:szCs w:val="30"/>
        </w:rPr>
      </w:pPr>
      <w:bookmarkStart w:id="0" w:name="OLE_LINK4"/>
      <w:bookmarkStart w:id="1" w:name="OLE_LINK5"/>
      <w:r>
        <w:rPr>
          <w:rFonts w:hint="eastAsia" w:ascii="仿宋_GB2312" w:hAnsi="仿宋_GB2312" w:eastAsia="仿宋_GB2312" w:cs="仿宋_GB2312"/>
          <w:sz w:val="30"/>
          <w:szCs w:val="30"/>
        </w:rPr>
        <w:t>2018年我校拟开展教学工程立项建设项目见表</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1（含数量</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结项时间</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支持资金等）：</w:t>
      </w:r>
      <w:bookmarkEnd w:id="0"/>
      <w:bookmarkEnd w:id="1"/>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表-1  2018年校级教学工程立项建设项目      单位： 万元</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91"/>
        <w:gridCol w:w="885"/>
        <w:gridCol w:w="1202"/>
        <w:gridCol w:w="2120"/>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17"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2591"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w:t>
            </w:r>
          </w:p>
        </w:tc>
        <w:tc>
          <w:tcPr>
            <w:tcW w:w="88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数量</w:t>
            </w:r>
          </w:p>
        </w:tc>
        <w:tc>
          <w:tcPr>
            <w:tcW w:w="1202"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结项</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时间</w:t>
            </w:r>
          </w:p>
        </w:tc>
        <w:tc>
          <w:tcPr>
            <w:tcW w:w="2120"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支持资金</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门</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人）</w:t>
            </w:r>
          </w:p>
        </w:tc>
        <w:tc>
          <w:tcPr>
            <w:tcW w:w="907"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合计</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17" w:type="dxa"/>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p>
        </w:tc>
        <w:tc>
          <w:tcPr>
            <w:tcW w:w="2591" w:type="dxa"/>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特色专业</w:t>
            </w:r>
          </w:p>
        </w:tc>
        <w:tc>
          <w:tcPr>
            <w:tcW w:w="885" w:type="dxa"/>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w:t>
            </w:r>
          </w:p>
        </w:tc>
        <w:tc>
          <w:tcPr>
            <w:tcW w:w="1202" w:type="dxa"/>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2020.6</w:t>
            </w:r>
          </w:p>
        </w:tc>
        <w:tc>
          <w:tcPr>
            <w:tcW w:w="2120" w:type="dxa"/>
            <w:vAlign w:val="center"/>
          </w:tcPr>
          <w:p>
            <w:pPr>
              <w:jc w:val="center"/>
              <w:rPr>
                <w:rFonts w:hint="eastAsia" w:ascii="仿宋_GB2312" w:hAnsi="仿宋_GB2312" w:eastAsia="仿宋_GB2312" w:cs="仿宋_GB2312"/>
                <w:sz w:val="24"/>
                <w:szCs w:val="24"/>
              </w:rPr>
            </w:pPr>
          </w:p>
        </w:tc>
        <w:tc>
          <w:tcPr>
            <w:tcW w:w="907"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1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59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优秀基层教学组织</w:t>
            </w:r>
          </w:p>
        </w:tc>
        <w:tc>
          <w:tcPr>
            <w:tcW w:w="88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0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2020.6</w:t>
            </w:r>
          </w:p>
        </w:tc>
        <w:tc>
          <w:tcPr>
            <w:tcW w:w="212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0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1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59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精品在线开放课程</w:t>
            </w:r>
          </w:p>
        </w:tc>
        <w:tc>
          <w:tcPr>
            <w:tcW w:w="88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20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2019.6</w:t>
            </w:r>
          </w:p>
        </w:tc>
        <w:tc>
          <w:tcPr>
            <w:tcW w:w="212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90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1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59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立体化教材</w:t>
            </w:r>
          </w:p>
        </w:tc>
        <w:tc>
          <w:tcPr>
            <w:tcW w:w="88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20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2019.6</w:t>
            </w:r>
          </w:p>
        </w:tc>
        <w:tc>
          <w:tcPr>
            <w:tcW w:w="212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90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1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59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专业教学资源库</w:t>
            </w:r>
          </w:p>
        </w:tc>
        <w:tc>
          <w:tcPr>
            <w:tcW w:w="88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20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2019.6</w:t>
            </w:r>
          </w:p>
        </w:tc>
        <w:tc>
          <w:tcPr>
            <w:tcW w:w="212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90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17" w:type="dxa"/>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w:t>
            </w:r>
          </w:p>
        </w:tc>
        <w:tc>
          <w:tcPr>
            <w:tcW w:w="2591" w:type="dxa"/>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教学名师</w:t>
            </w:r>
          </w:p>
        </w:tc>
        <w:tc>
          <w:tcPr>
            <w:tcW w:w="885" w:type="dxa"/>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w:t>
            </w:r>
          </w:p>
        </w:tc>
        <w:tc>
          <w:tcPr>
            <w:tcW w:w="1202" w:type="dxa"/>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2020.6</w:t>
            </w:r>
          </w:p>
        </w:tc>
        <w:tc>
          <w:tcPr>
            <w:tcW w:w="2120" w:type="dxa"/>
            <w:vAlign w:val="center"/>
          </w:tcPr>
          <w:p>
            <w:pPr>
              <w:jc w:val="center"/>
              <w:rPr>
                <w:rFonts w:hint="eastAsia" w:ascii="仿宋_GB2312" w:hAnsi="仿宋_GB2312" w:eastAsia="仿宋_GB2312" w:cs="仿宋_GB2312"/>
                <w:sz w:val="24"/>
                <w:szCs w:val="24"/>
              </w:rPr>
            </w:pPr>
          </w:p>
        </w:tc>
        <w:tc>
          <w:tcPr>
            <w:tcW w:w="907"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17" w:type="dxa"/>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7</w:t>
            </w:r>
          </w:p>
        </w:tc>
        <w:tc>
          <w:tcPr>
            <w:tcW w:w="2591" w:type="dxa"/>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青年骨干教师</w:t>
            </w:r>
          </w:p>
        </w:tc>
        <w:tc>
          <w:tcPr>
            <w:tcW w:w="885" w:type="dxa"/>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w:t>
            </w:r>
          </w:p>
        </w:tc>
        <w:tc>
          <w:tcPr>
            <w:tcW w:w="1202" w:type="dxa"/>
            <w:vAlign w:val="center"/>
          </w:tcPr>
          <w:p>
            <w:pPr>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2020.6</w:t>
            </w:r>
          </w:p>
        </w:tc>
        <w:tc>
          <w:tcPr>
            <w:tcW w:w="2120" w:type="dxa"/>
            <w:vAlign w:val="center"/>
          </w:tcPr>
          <w:p>
            <w:pPr>
              <w:jc w:val="center"/>
              <w:rPr>
                <w:rFonts w:hint="eastAsia" w:ascii="仿宋_GB2312" w:hAnsi="仿宋_GB2312" w:eastAsia="仿宋_GB2312" w:cs="仿宋_GB2312"/>
                <w:sz w:val="24"/>
                <w:szCs w:val="24"/>
              </w:rPr>
            </w:pPr>
          </w:p>
        </w:tc>
        <w:tc>
          <w:tcPr>
            <w:tcW w:w="907" w:type="dxa"/>
            <w:vAlign w:val="center"/>
          </w:tcPr>
          <w:p>
            <w:pPr>
              <w:jc w:val="center"/>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700" w:lineRule="exact"/>
        <w:ind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三</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立项办法</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1.本次项目立项依据《河南应用技术职业学院教学工程项目管理办法（试行）》文件有关要求和规定进行，由学校教学工作委员会组织成立评审专家组具体开展相关工作。</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2.本次项目立项的申报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审核</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评审等环节原则上按照省级教学工程项目的有关要求进行，同时结合校级建设基础等实际情况制订合理的评审细则，评审专家组根据评审细则对申报材料进行评审。</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项目立项采取评审择优与兼顾各院（部）及学科</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专业大类平衡分布相结合的原则，由评审专家组根据评审成绩提出立项建议，教学工作委员会予以审定批准。</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4.除课程建设项目外，2018年前已经参与过立项建设的教学工程项目（或名称变化的同类项目）或已获得省级教学工程项目资格的，不再参与本次立项建设。</w:t>
      </w:r>
    </w:p>
    <w:p>
      <w:pPr>
        <w:keepNext w:val="0"/>
        <w:keepLines w:val="0"/>
        <w:pageBreakBefore w:val="0"/>
        <w:widowControl w:val="0"/>
        <w:kinsoku/>
        <w:wordWrap/>
        <w:overflowPunct/>
        <w:topLinePunct w:val="0"/>
        <w:autoSpaceDE/>
        <w:autoSpaceDN/>
        <w:bidi w:val="0"/>
        <w:adjustRightInd/>
        <w:snapToGrid/>
        <w:spacing w:line="700" w:lineRule="exact"/>
        <w:ind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四</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立项流程与工作安排</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立项流程</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项目申报采取团队申请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以院（部）为单位推荐报送的方式进行。</w:t>
      </w:r>
      <w:r>
        <w:rPr>
          <w:rFonts w:hint="eastAsia" w:ascii="仿宋_GB2312" w:hAnsi="仿宋_GB2312" w:eastAsia="仿宋_GB2312" w:cs="仿宋_GB2312"/>
          <w:sz w:val="30"/>
          <w:szCs w:val="30"/>
          <w:lang w:eastAsia="zh-CN"/>
        </w:rPr>
        <w:t>要求</w:t>
      </w:r>
      <w:r>
        <w:rPr>
          <w:rFonts w:hint="eastAsia" w:ascii="仿宋_GB2312" w:hAnsi="仿宋_GB2312" w:eastAsia="仿宋_GB2312" w:cs="仿宋_GB2312"/>
          <w:sz w:val="30"/>
          <w:szCs w:val="30"/>
        </w:rPr>
        <w:t>申报项目的团队，由主持人填写有关项目申报材料并提交给所属院（部），所属院（部）经内部审核后向教学工作委员会评审专家组报送推荐的申报项目并提交申报材料。</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项目评审专家组对各单位推荐的申报项目进行集中评审，将评审结果（成绩评分）和立项建议报教学工作委员会，教学工作委员会审核确定立项项目，发布立项文件。</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工作安排</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2018年校级教学工程各项目申报</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评审</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立项等工作计划于2018年5月中旬启动，至6月中旬各项目评审完毕，6月20前公布立项结果（发布立项文件）。</w:t>
      </w:r>
      <w:r>
        <w:rPr>
          <w:rFonts w:hint="eastAsia" w:ascii="仿宋_GB2312" w:hAnsi="仿宋_GB2312" w:eastAsia="仿宋_GB2312" w:cs="仿宋_GB2312"/>
          <w:sz w:val="30"/>
          <w:szCs w:val="30"/>
        </w:rPr>
        <w:t>具体工作时间</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申报材料要求</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报送方式等</w:t>
      </w:r>
      <w:r>
        <w:rPr>
          <w:rFonts w:hint="eastAsia" w:ascii="仿宋_GB2312" w:hAnsi="仿宋_GB2312" w:eastAsia="仿宋_GB2312" w:cs="仿宋_GB2312"/>
          <w:color w:val="000000" w:themeColor="text1"/>
          <w:sz w:val="30"/>
          <w:szCs w:val="30"/>
        </w:rPr>
        <w:t>由教学工作委员会项目评审专家组届时发布通知，请各院（部）积极进行相关准备。</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700" w:lineRule="exact"/>
        <w:ind w:firstLine="5100" w:firstLineChars="17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2018年5月1</w:t>
      </w:r>
      <w:r>
        <w:rPr>
          <w:rFonts w:hint="eastAsia" w:ascii="仿宋_GB2312" w:hAnsi="仿宋_GB2312" w:eastAsia="仿宋_GB2312" w:cs="仿宋_GB2312"/>
          <w:color w:val="000000" w:themeColor="text1"/>
          <w:sz w:val="30"/>
          <w:szCs w:val="30"/>
          <w:lang w:val="en-US" w:eastAsia="zh-CN"/>
        </w:rPr>
        <w:t>6</w:t>
      </w:r>
      <w:r>
        <w:rPr>
          <w:rFonts w:hint="eastAsia" w:ascii="仿宋_GB2312" w:hAnsi="仿宋_GB2312" w:eastAsia="仿宋_GB2312" w:cs="仿宋_GB2312"/>
          <w:color w:val="000000" w:themeColor="text1"/>
          <w:sz w:val="30"/>
          <w:szCs w:val="30"/>
        </w:rPr>
        <w:t>日</w:t>
      </w:r>
    </w:p>
    <w:tbl>
      <w:tblPr>
        <w:tblStyle w:val="5"/>
        <w:tblpPr w:leftFromText="180" w:rightFromText="180" w:vertAnchor="text" w:horzAnchor="page" w:tblpX="1748" w:tblpY="9567"/>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505" w:type="dxa"/>
            <w:tcBorders>
              <w:left w:val="nil"/>
              <w:right w:val="nil"/>
            </w:tcBorders>
            <w:vAlign w:val="top"/>
          </w:tcPr>
          <w:p>
            <w:pPr>
              <w:rPr>
                <w:rFonts w:hAnsi="宋体"/>
                <w:color w:val="auto"/>
                <w:sz w:val="28"/>
                <w:szCs w:val="28"/>
              </w:rPr>
            </w:pPr>
            <w:r>
              <w:rPr>
                <w:rFonts w:hint="eastAsia" w:ascii="仿宋_GB2312" w:hAnsi="宋体" w:eastAsia="仿宋_GB2312" w:cs="仿宋_GB2312"/>
                <w:color w:val="auto"/>
                <w:sz w:val="28"/>
                <w:szCs w:val="28"/>
              </w:rPr>
              <w:t>河南应用技术职业学院办公室</w:t>
            </w:r>
            <w:r>
              <w:rPr>
                <w:rFonts w:hint="eastAsia" w:ascii="仿宋_GB2312" w:hAnsi="宋体" w:eastAsia="仿宋_GB2312" w:cs="仿宋_GB2312"/>
                <w:color w:val="auto"/>
                <w:sz w:val="28"/>
                <w:szCs w:val="28"/>
                <w:lang w:val="en-US" w:eastAsia="zh-CN"/>
              </w:rPr>
              <w:t xml:space="preserve">            </w:t>
            </w:r>
            <w:r>
              <w:rPr>
                <w:rFonts w:ascii="仿宋_GB2312" w:hAnsi="宋体" w:eastAsia="仿宋_GB2312" w:cs="仿宋_GB2312"/>
                <w:color w:val="auto"/>
                <w:sz w:val="28"/>
                <w:szCs w:val="28"/>
              </w:rPr>
              <w:t>201</w:t>
            </w:r>
            <w:r>
              <w:rPr>
                <w:rFonts w:hint="eastAsia" w:ascii="仿宋_GB2312" w:hAnsi="宋体" w:eastAsia="仿宋_GB2312" w:cs="仿宋_GB2312"/>
                <w:color w:val="auto"/>
                <w:sz w:val="28"/>
                <w:szCs w:val="28"/>
                <w:lang w:val="en-US" w:eastAsia="zh-CN"/>
              </w:rPr>
              <w:t>8</w:t>
            </w:r>
            <w:r>
              <w:rPr>
                <w:rFonts w:hint="eastAsia" w:ascii="仿宋_GB2312" w:hAnsi="宋体" w:eastAsia="仿宋_GB2312" w:cs="仿宋_GB2312"/>
                <w:color w:val="auto"/>
                <w:sz w:val="28"/>
                <w:szCs w:val="28"/>
              </w:rPr>
              <w:t>年</w:t>
            </w:r>
            <w:r>
              <w:rPr>
                <w:rFonts w:hint="eastAsia" w:ascii="仿宋_GB2312" w:hAnsi="宋体" w:eastAsia="仿宋_GB2312" w:cs="仿宋_GB2312"/>
                <w:color w:val="auto"/>
                <w:sz w:val="28"/>
                <w:szCs w:val="28"/>
                <w:lang w:val="en-US" w:eastAsia="zh-CN"/>
              </w:rPr>
              <w:t>5</w:t>
            </w:r>
            <w:r>
              <w:rPr>
                <w:rFonts w:hint="eastAsia" w:ascii="仿宋_GB2312" w:hAnsi="宋体" w:eastAsia="仿宋_GB2312" w:cs="仿宋_GB2312"/>
                <w:color w:val="auto"/>
                <w:sz w:val="28"/>
                <w:szCs w:val="28"/>
              </w:rPr>
              <w:t>月</w:t>
            </w:r>
            <w:r>
              <w:rPr>
                <w:rFonts w:hint="eastAsia" w:ascii="仿宋_GB2312" w:hAnsi="宋体" w:eastAsia="仿宋_GB2312" w:cs="仿宋_GB2312"/>
                <w:color w:val="auto"/>
                <w:sz w:val="28"/>
                <w:szCs w:val="28"/>
                <w:lang w:val="en-US" w:eastAsia="zh-CN"/>
              </w:rPr>
              <w:t>16</w:t>
            </w:r>
            <w:r>
              <w:rPr>
                <w:rFonts w:hint="eastAsia" w:ascii="仿宋_GB2312" w:hAnsi="宋体" w:eastAsia="仿宋_GB2312" w:cs="仿宋_GB2312"/>
                <w:color w:val="auto"/>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700" w:lineRule="exact"/>
        <w:ind w:firstLine="5100" w:firstLineChars="1700"/>
        <w:textAlignment w:val="auto"/>
        <w:outlineLvl w:val="9"/>
        <w:rPr>
          <w:rFonts w:hint="eastAsia" w:ascii="仿宋_GB2312" w:hAnsi="仿宋_GB2312" w:eastAsia="仿宋_GB2312" w:cs="仿宋_GB2312"/>
          <w:color w:val="000000" w:themeColor="text1"/>
          <w:sz w:val="30"/>
          <w:szCs w:val="30"/>
        </w:rPr>
      </w:pPr>
      <w:bookmarkStart w:id="2" w:name="_GoBack"/>
      <w:bookmarkEnd w:id="2"/>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4775207"/>
                  <w:docPartObj>
                    <w:docPartGallery w:val="autotext"/>
                  </w:docPartObj>
                </w:sdtPr>
                <w:sdtContent>
                  <w:p>
                    <w:pPr>
                      <w:pStyle w:val="2"/>
                      <w:jc w:val="center"/>
                    </w:pPr>
                    <w:r>
                      <w:rPr>
                        <w:sz w:val="30"/>
                        <w:szCs w:val="30"/>
                      </w:rPr>
                      <w:fldChar w:fldCharType="begin"/>
                    </w:r>
                    <w:r>
                      <w:rPr>
                        <w:sz w:val="30"/>
                        <w:szCs w:val="30"/>
                      </w:rPr>
                      <w:instrText xml:space="preserve"> PAGE   \* MERGEFORMAT </w:instrText>
                    </w:r>
                    <w:r>
                      <w:rPr>
                        <w:sz w:val="30"/>
                        <w:szCs w:val="30"/>
                      </w:rPr>
                      <w:fldChar w:fldCharType="separate"/>
                    </w:r>
                    <w:r>
                      <w:rPr>
                        <w:sz w:val="30"/>
                        <w:szCs w:val="30"/>
                        <w:lang w:val="zh-CN"/>
                      </w:rPr>
                      <w:t>3</w:t>
                    </w:r>
                    <w:r>
                      <w:rPr>
                        <w:sz w:val="30"/>
                        <w:szCs w:val="30"/>
                        <w:lang w:val="zh-CN"/>
                      </w:rPr>
                      <w:fldChar w:fldCharType="end"/>
                    </w:r>
                  </w:p>
                </w:sdtContent>
              </w:sdt>
              <w:p/>
            </w:txbxContent>
          </v:textbox>
        </v:shape>
      </w:pic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565AC3"/>
    <w:multiLevelType w:val="singleLevel"/>
    <w:tmpl w:val="CE565AC3"/>
    <w:lvl w:ilvl="0" w:tentative="0">
      <w:start w:val="1"/>
      <w:numFmt w:val="chineseCount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F29C2"/>
    <w:rsid w:val="0000338B"/>
    <w:rsid w:val="00003A13"/>
    <w:rsid w:val="000303E4"/>
    <w:rsid w:val="00031D2D"/>
    <w:rsid w:val="000440EF"/>
    <w:rsid w:val="00061476"/>
    <w:rsid w:val="0007052A"/>
    <w:rsid w:val="00081D51"/>
    <w:rsid w:val="0008340B"/>
    <w:rsid w:val="00094E90"/>
    <w:rsid w:val="000A5497"/>
    <w:rsid w:val="000B14BC"/>
    <w:rsid w:val="000B6CF2"/>
    <w:rsid w:val="000C2A8F"/>
    <w:rsid w:val="000C656F"/>
    <w:rsid w:val="000E0EAA"/>
    <w:rsid w:val="000E4A38"/>
    <w:rsid w:val="000F728A"/>
    <w:rsid w:val="0010486F"/>
    <w:rsid w:val="00113CA9"/>
    <w:rsid w:val="001318E2"/>
    <w:rsid w:val="00144A26"/>
    <w:rsid w:val="00164F70"/>
    <w:rsid w:val="001974B1"/>
    <w:rsid w:val="001C027F"/>
    <w:rsid w:val="001C0660"/>
    <w:rsid w:val="001D4EC7"/>
    <w:rsid w:val="001E2ADA"/>
    <w:rsid w:val="001F241C"/>
    <w:rsid w:val="00276B12"/>
    <w:rsid w:val="00292899"/>
    <w:rsid w:val="00295D54"/>
    <w:rsid w:val="002A3796"/>
    <w:rsid w:val="002B17D3"/>
    <w:rsid w:val="002D76AF"/>
    <w:rsid w:val="002E6E53"/>
    <w:rsid w:val="0030213C"/>
    <w:rsid w:val="0031681F"/>
    <w:rsid w:val="003359B2"/>
    <w:rsid w:val="00345287"/>
    <w:rsid w:val="003570D9"/>
    <w:rsid w:val="00361DEE"/>
    <w:rsid w:val="00361DF2"/>
    <w:rsid w:val="003735C3"/>
    <w:rsid w:val="0037759F"/>
    <w:rsid w:val="00392853"/>
    <w:rsid w:val="003946F6"/>
    <w:rsid w:val="003D64F4"/>
    <w:rsid w:val="00411AC0"/>
    <w:rsid w:val="00442551"/>
    <w:rsid w:val="00451BA8"/>
    <w:rsid w:val="00453DC5"/>
    <w:rsid w:val="004700B4"/>
    <w:rsid w:val="00475A3A"/>
    <w:rsid w:val="004807DE"/>
    <w:rsid w:val="00496489"/>
    <w:rsid w:val="004A0E4A"/>
    <w:rsid w:val="004D2D7B"/>
    <w:rsid w:val="004F3321"/>
    <w:rsid w:val="004F64CB"/>
    <w:rsid w:val="00500E3A"/>
    <w:rsid w:val="005043E1"/>
    <w:rsid w:val="00520C7D"/>
    <w:rsid w:val="0052603B"/>
    <w:rsid w:val="00547C38"/>
    <w:rsid w:val="0055470E"/>
    <w:rsid w:val="00554EFC"/>
    <w:rsid w:val="00563594"/>
    <w:rsid w:val="00574429"/>
    <w:rsid w:val="005A0CFD"/>
    <w:rsid w:val="005C61E3"/>
    <w:rsid w:val="005E12EF"/>
    <w:rsid w:val="005F7EB1"/>
    <w:rsid w:val="00625DD3"/>
    <w:rsid w:val="00635E6E"/>
    <w:rsid w:val="00642275"/>
    <w:rsid w:val="0064273B"/>
    <w:rsid w:val="0064441F"/>
    <w:rsid w:val="00646B37"/>
    <w:rsid w:val="006537EB"/>
    <w:rsid w:val="00684E9B"/>
    <w:rsid w:val="00684F78"/>
    <w:rsid w:val="00694B05"/>
    <w:rsid w:val="006C6792"/>
    <w:rsid w:val="006C7366"/>
    <w:rsid w:val="006F40D0"/>
    <w:rsid w:val="007161B4"/>
    <w:rsid w:val="00716903"/>
    <w:rsid w:val="00724696"/>
    <w:rsid w:val="00733465"/>
    <w:rsid w:val="007337E6"/>
    <w:rsid w:val="00742CB8"/>
    <w:rsid w:val="007663AD"/>
    <w:rsid w:val="007763C4"/>
    <w:rsid w:val="00776EF9"/>
    <w:rsid w:val="00787156"/>
    <w:rsid w:val="00792EA5"/>
    <w:rsid w:val="007A3FBF"/>
    <w:rsid w:val="007A716E"/>
    <w:rsid w:val="007B65BF"/>
    <w:rsid w:val="007C696A"/>
    <w:rsid w:val="007D5E71"/>
    <w:rsid w:val="007F1F84"/>
    <w:rsid w:val="008411D7"/>
    <w:rsid w:val="008772AD"/>
    <w:rsid w:val="008A01E5"/>
    <w:rsid w:val="008A69C1"/>
    <w:rsid w:val="008C307D"/>
    <w:rsid w:val="008D30AD"/>
    <w:rsid w:val="00905B75"/>
    <w:rsid w:val="00915801"/>
    <w:rsid w:val="00946422"/>
    <w:rsid w:val="009520FA"/>
    <w:rsid w:val="009566E2"/>
    <w:rsid w:val="00956D1A"/>
    <w:rsid w:val="0098111C"/>
    <w:rsid w:val="009841A5"/>
    <w:rsid w:val="00996FC8"/>
    <w:rsid w:val="009B26B3"/>
    <w:rsid w:val="009B2C32"/>
    <w:rsid w:val="009B5B89"/>
    <w:rsid w:val="009B6A1A"/>
    <w:rsid w:val="009E43AA"/>
    <w:rsid w:val="009E68C9"/>
    <w:rsid w:val="009E6947"/>
    <w:rsid w:val="009F5184"/>
    <w:rsid w:val="00A04C2E"/>
    <w:rsid w:val="00A147AF"/>
    <w:rsid w:val="00A16B75"/>
    <w:rsid w:val="00A24835"/>
    <w:rsid w:val="00A405B6"/>
    <w:rsid w:val="00A52F64"/>
    <w:rsid w:val="00A54C02"/>
    <w:rsid w:val="00A5785E"/>
    <w:rsid w:val="00A81D13"/>
    <w:rsid w:val="00AA685F"/>
    <w:rsid w:val="00AC313F"/>
    <w:rsid w:val="00AF29C2"/>
    <w:rsid w:val="00B05F30"/>
    <w:rsid w:val="00B201DB"/>
    <w:rsid w:val="00B3632B"/>
    <w:rsid w:val="00B65D18"/>
    <w:rsid w:val="00B819F0"/>
    <w:rsid w:val="00B859F9"/>
    <w:rsid w:val="00BA08CE"/>
    <w:rsid w:val="00BA3557"/>
    <w:rsid w:val="00BA5D84"/>
    <w:rsid w:val="00BB08F7"/>
    <w:rsid w:val="00BD482A"/>
    <w:rsid w:val="00BE10DA"/>
    <w:rsid w:val="00C20E3C"/>
    <w:rsid w:val="00C22A2C"/>
    <w:rsid w:val="00C36176"/>
    <w:rsid w:val="00C82404"/>
    <w:rsid w:val="00C82B1B"/>
    <w:rsid w:val="00C8607F"/>
    <w:rsid w:val="00C87BDF"/>
    <w:rsid w:val="00C95BBE"/>
    <w:rsid w:val="00CA16C8"/>
    <w:rsid w:val="00CB050A"/>
    <w:rsid w:val="00CC045E"/>
    <w:rsid w:val="00CC0F00"/>
    <w:rsid w:val="00CC772A"/>
    <w:rsid w:val="00CD64A5"/>
    <w:rsid w:val="00CE4B23"/>
    <w:rsid w:val="00CF5895"/>
    <w:rsid w:val="00CF5C55"/>
    <w:rsid w:val="00D00EE8"/>
    <w:rsid w:val="00D2445C"/>
    <w:rsid w:val="00D27CC9"/>
    <w:rsid w:val="00D3705B"/>
    <w:rsid w:val="00D5604D"/>
    <w:rsid w:val="00D62000"/>
    <w:rsid w:val="00D62221"/>
    <w:rsid w:val="00D819C5"/>
    <w:rsid w:val="00DC1B1D"/>
    <w:rsid w:val="00DD3756"/>
    <w:rsid w:val="00DF6677"/>
    <w:rsid w:val="00E00CD1"/>
    <w:rsid w:val="00E20B34"/>
    <w:rsid w:val="00E31032"/>
    <w:rsid w:val="00E365D4"/>
    <w:rsid w:val="00E46E4A"/>
    <w:rsid w:val="00E51283"/>
    <w:rsid w:val="00E549EA"/>
    <w:rsid w:val="00E61A87"/>
    <w:rsid w:val="00E6231C"/>
    <w:rsid w:val="00E81EC8"/>
    <w:rsid w:val="00E876AB"/>
    <w:rsid w:val="00E91B90"/>
    <w:rsid w:val="00EA3823"/>
    <w:rsid w:val="00ED078D"/>
    <w:rsid w:val="00ED1525"/>
    <w:rsid w:val="00ED1880"/>
    <w:rsid w:val="00EE4D77"/>
    <w:rsid w:val="00EE5A0F"/>
    <w:rsid w:val="00F1679C"/>
    <w:rsid w:val="00F30E85"/>
    <w:rsid w:val="00F368EB"/>
    <w:rsid w:val="00F50E72"/>
    <w:rsid w:val="00F633A4"/>
    <w:rsid w:val="00F73638"/>
    <w:rsid w:val="00F877DF"/>
    <w:rsid w:val="00FB1B74"/>
    <w:rsid w:val="00FB4C70"/>
    <w:rsid w:val="00FB6757"/>
    <w:rsid w:val="00FD5963"/>
    <w:rsid w:val="0D6E6F61"/>
    <w:rsid w:val="1E070577"/>
    <w:rsid w:val="218216D1"/>
    <w:rsid w:val="35075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qFormat/>
    <w:uiPriority w:val="99"/>
    <w:rPr>
      <w:sz w:val="18"/>
      <w:szCs w:val="18"/>
    </w:rPr>
  </w:style>
  <w:style w:type="character" w:customStyle="1" w:styleId="8">
    <w:name w:val="页脚 字符"/>
    <w:basedOn w:val="4"/>
    <w:link w:val="2"/>
    <w:qFormat/>
    <w:uiPriority w:val="99"/>
    <w:rPr>
      <w:sz w:val="18"/>
      <w:szCs w:val="18"/>
    </w:rPr>
  </w:style>
  <w:style w:type="character" w:customStyle="1" w:styleId="9">
    <w:name w:val="tbnn_title1"/>
    <w:qFormat/>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186</Words>
  <Characters>1064</Characters>
  <Lines>8</Lines>
  <Paragraphs>2</Paragraphs>
  <TotalTime>0</TotalTime>
  <ScaleCrop>false</ScaleCrop>
  <LinksUpToDate>false</LinksUpToDate>
  <CharactersWithSpaces>1248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2017-11-01T00:46:00Z</dcterms:created>
  <dc:creator>2012</dc:creator>
  <cp:lastModifiedBy>小稀饭。╮</cp:lastModifiedBy>
  <dcterms:modified xsi:type="dcterms:W3CDTF">2018-05-16T08:15:04Z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