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both"/>
        <w:rPr>
          <w:rFonts w:ascii="黑体" w:eastAsia="黑体" w:cs="Times New Roman"/>
          <w:color w:val="000000"/>
          <w:sz w:val="36"/>
          <w:szCs w:val="36"/>
        </w:rPr>
      </w:pPr>
      <w:r>
        <w:rPr>
          <w:b/>
          <w:bCs/>
          <w:sz w:val="32"/>
          <w:szCs w:val="32"/>
        </w:rPr>
        <w:t xml:space="preserve">                                                                                                                                                          </w:t>
      </w:r>
    </w:p>
    <w:p>
      <w:pPr>
        <w:snapToGrid w:val="0"/>
        <w:spacing w:line="360" w:lineRule="auto"/>
        <w:jc w:val="both"/>
        <w:rPr>
          <w:rFonts w:ascii="黑体" w:eastAsia="黑体" w:cs="Times New Roman"/>
          <w:color w:val="000000"/>
          <w:sz w:val="36"/>
          <w:szCs w:val="36"/>
        </w:rPr>
      </w:pPr>
    </w:p>
    <w:p>
      <w:pPr>
        <w:snapToGrid w:val="0"/>
        <w:spacing w:line="360" w:lineRule="auto"/>
        <w:jc w:val="center"/>
        <w:rPr>
          <w:rFonts w:ascii="黑体" w:eastAsia="黑体" w:cs="Times New Roman"/>
          <w:color w:val="000000"/>
          <w:sz w:val="28"/>
          <w:szCs w:val="28"/>
        </w:rPr>
      </w:pPr>
    </w:p>
    <w:p>
      <w:pPr>
        <w:snapToGrid w:val="0"/>
        <w:spacing w:line="360" w:lineRule="auto"/>
        <w:jc w:val="center"/>
        <w:rPr>
          <w:rFonts w:ascii="黑体" w:eastAsia="黑体" w:cs="Times New Roman"/>
          <w:color w:val="000000"/>
          <w:sz w:val="11"/>
          <w:szCs w:val="11"/>
        </w:rPr>
      </w:pPr>
    </w:p>
    <w:p>
      <w:pPr>
        <w:snapToGrid w:val="0"/>
        <w:spacing w:line="360" w:lineRule="auto"/>
        <w:jc w:val="center"/>
        <w:rPr>
          <w:rFonts w:ascii="黑体" w:eastAsia="黑体" w:cs="Times New Roman"/>
          <w:color w:val="000000"/>
          <w:sz w:val="11"/>
          <w:szCs w:val="11"/>
        </w:rPr>
      </w:pPr>
    </w:p>
    <w:p>
      <w:pPr>
        <w:snapToGrid w:val="0"/>
        <w:spacing w:line="360" w:lineRule="auto"/>
        <w:jc w:val="center"/>
        <w:rPr>
          <w:rFonts w:ascii="黑体" w:eastAsia="黑体" w:cs="Times New Roman"/>
          <w:color w:val="000000"/>
          <w:sz w:val="11"/>
          <w:szCs w:val="11"/>
        </w:rPr>
      </w:pPr>
    </w:p>
    <w:p>
      <w:pPr>
        <w:snapToGrid w:val="0"/>
        <w:spacing w:line="360" w:lineRule="auto"/>
        <w:jc w:val="center"/>
        <w:rPr>
          <w:rFonts w:ascii="华文中宋" w:hAnsi="华文中宋" w:eastAsia="华文中宋" w:cs="Times New Roman"/>
          <w:color w:val="FFFFFF"/>
          <w:spacing w:val="-120"/>
          <w:w w:val="80"/>
          <w:sz w:val="112"/>
          <w:szCs w:val="112"/>
        </w:rPr>
      </w:pPr>
      <w:r>
        <w:rPr>
          <w:rFonts w:hint="eastAsia" w:ascii="华文中宋" w:hAnsi="华文中宋" w:eastAsia="华文中宋" w:cs="华文中宋"/>
          <w:color w:val="FFFFFF"/>
          <w:spacing w:val="-120"/>
          <w:w w:val="80"/>
          <w:sz w:val="112"/>
          <w:szCs w:val="112"/>
        </w:rPr>
        <w:t>河南应用技术职业学院文件</w:t>
      </w:r>
    </w:p>
    <w:p>
      <w:pPr>
        <w:spacing w:line="400" w:lineRule="exact"/>
        <w:jc w:val="center"/>
        <w:rPr>
          <w:rFonts w:hint="eastAsia" w:ascii="宋体" w:hAnsi="宋体" w:eastAsia="宋体" w:cs="宋体"/>
          <w:color w:val="000000"/>
          <w:sz w:val="36"/>
          <w:szCs w:val="36"/>
        </w:rPr>
      </w:pPr>
      <w:r>
        <w:rPr>
          <w:rFonts w:hint="eastAsia" w:ascii="仿宋_GB2312" w:hAnsi="仿宋_GB2312" w:eastAsia="仿宋_GB2312" w:cs="仿宋_GB2312"/>
          <w:color w:val="000000"/>
          <w:sz w:val="32"/>
          <w:szCs w:val="32"/>
        </w:rPr>
        <w:t>豫应院</w:t>
      </w:r>
      <w:r>
        <w:rPr>
          <w:rStyle w:val="8"/>
          <w:rFonts w:hint="eastAsia" w:ascii="仿宋_GB2312" w:hAnsi="仿宋_GB2312" w:eastAsia="仿宋_GB2312" w:cs="仿宋_GB2312"/>
          <w:sz w:val="32"/>
          <w:szCs w:val="32"/>
        </w:rPr>
        <w:t>〔201</w:t>
      </w:r>
      <w:r>
        <w:rPr>
          <w:rStyle w:val="8"/>
          <w:rFonts w:hint="eastAsia" w:ascii="仿宋_GB2312" w:hAnsi="仿宋_GB2312" w:eastAsia="仿宋_GB2312" w:cs="仿宋_GB2312"/>
          <w:sz w:val="32"/>
          <w:szCs w:val="32"/>
          <w:lang w:val="en-US" w:eastAsia="zh-CN"/>
        </w:rPr>
        <w:t>8</w:t>
      </w:r>
      <w:r>
        <w:rPr>
          <w:rStyle w:val="8"/>
          <w:rFonts w:hint="eastAsia" w:ascii="仿宋_GB2312" w:hAnsi="仿宋_GB2312" w:eastAsia="仿宋_GB2312" w:cs="仿宋_GB2312"/>
          <w:sz w:val="32"/>
          <w:szCs w:val="32"/>
        </w:rPr>
        <w:t>〕</w:t>
      </w:r>
      <w:r>
        <w:rPr>
          <w:rStyle w:val="8"/>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color w:val="000000"/>
          <w:sz w:val="32"/>
          <w:szCs w:val="32"/>
        </w:rPr>
        <w:t>号</w:t>
      </w:r>
    </w:p>
    <w:p>
      <w:pPr>
        <w:snapToGrid w:val="0"/>
        <w:spacing w:line="480" w:lineRule="exact"/>
        <w:jc w:val="right"/>
        <w:rPr>
          <w:rFonts w:ascii="宋体" w:cs="Times New Roman"/>
          <w:b/>
          <w:bCs/>
          <w:color w:val="000000"/>
          <w:sz w:val="36"/>
          <w:szCs w:val="36"/>
        </w:rPr>
      </w:pPr>
    </w:p>
    <w:p>
      <w:pPr>
        <w:widowControl/>
        <w:tabs>
          <w:tab w:val="left" w:pos="1276"/>
        </w:tabs>
        <w:spacing w:line="660" w:lineRule="exact"/>
        <w:jc w:val="center"/>
        <w:rPr>
          <w:rFonts w:hint="eastAsia" w:ascii="方正小标宋简体" w:hAnsi="宋体" w:eastAsia="方正小标宋简体" w:cs="宋体"/>
          <w:bCs/>
          <w:color w:val="000000"/>
          <w:kern w:val="0"/>
          <w:sz w:val="36"/>
          <w:szCs w:val="36"/>
          <w:lang w:eastAsia="zh-CN"/>
        </w:rPr>
      </w:pPr>
      <w:r>
        <w:rPr>
          <w:rFonts w:hint="eastAsia" w:ascii="方正小标宋简体" w:hAnsi="宋体" w:eastAsia="方正小标宋简体" w:cs="宋体"/>
          <w:bCs/>
          <w:color w:val="000000"/>
          <w:kern w:val="0"/>
          <w:sz w:val="36"/>
          <w:szCs w:val="36"/>
          <w:lang w:eastAsia="zh-CN"/>
        </w:rPr>
        <w:t>河南应用技术职业学院</w:t>
      </w:r>
    </w:p>
    <w:p>
      <w:pPr>
        <w:widowControl/>
        <w:spacing w:line="500" w:lineRule="atLeast"/>
        <w:jc w:val="cente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关于印发《教学工程项目管理办法（试行）》的通知</w:t>
      </w:r>
    </w:p>
    <w:p>
      <w:pPr>
        <w:widowControl/>
        <w:spacing w:line="500" w:lineRule="atLeast"/>
        <w:jc w:val="center"/>
        <w:rPr>
          <w:rFonts w:hint="eastAsia" w:ascii="方正小标宋简体" w:hAnsi="方正小标宋简体" w:eastAsia="方正小标宋简体" w:cs="方正小标宋简体"/>
          <w:color w:val="000000" w:themeColor="text1"/>
          <w:kern w:val="0"/>
          <w:sz w:val="13"/>
          <w:szCs w:val="13"/>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700" w:lineRule="exact"/>
        <w:jc w:val="left"/>
        <w:textAlignment w:val="auto"/>
        <w:outlineLvl w:val="9"/>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校属各部门：</w:t>
      </w:r>
    </w:p>
    <w:p>
      <w:pPr>
        <w:keepNext w:val="0"/>
        <w:keepLines w:val="0"/>
        <w:pageBreakBefore w:val="0"/>
        <w:widowControl/>
        <w:kinsoku/>
        <w:wordWrap/>
        <w:overflowPunct/>
        <w:topLinePunct w:val="0"/>
        <w:autoSpaceDE/>
        <w:autoSpaceDN/>
        <w:bidi w:val="0"/>
        <w:adjustRightInd/>
        <w:snapToGrid/>
        <w:spacing w:line="700" w:lineRule="exact"/>
        <w:ind w:firstLine="600" w:firstLineChars="200"/>
        <w:jc w:val="left"/>
        <w:textAlignment w:val="auto"/>
        <w:outlineLvl w:val="9"/>
        <w:rPr>
          <w:rFonts w:ascii="仿宋_GB2312" w:hAnsi="仿宋_GB2312" w:eastAsia="仿宋_GB2312" w:cs="仿宋_GB2312"/>
          <w:color w:val="000000" w:themeColor="text1"/>
          <w:kern w:val="0"/>
          <w:sz w:val="30"/>
          <w:szCs w:val="30"/>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为深化教育教学改革，促进人才培养质量提升，推动我校各级各类教学工程项目建设工作的深入开展，强化我校教学工程项目的培育和建设质量的提升，进一步规范教学工程项目立项</w:t>
      </w:r>
      <w:r>
        <w:rPr>
          <w:rFonts w:hint="eastAsia" w:ascii="仿宋_GB2312" w:hAnsi="仿宋_GB2312" w:eastAsia="仿宋_GB2312" w:cs="仿宋_GB2312"/>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结项及建设资金的管理与使用，确保项目建设的顺利完成并取得实效，特制订《河南应用技术职业学院教学工程项目管理办法（试行）》，现印发给你们，请遵照执行。</w:t>
      </w:r>
    </w:p>
    <w:p>
      <w:pPr>
        <w:keepNext w:val="0"/>
        <w:keepLines w:val="0"/>
        <w:pageBreakBefore w:val="0"/>
        <w:widowControl/>
        <w:kinsoku/>
        <w:wordWrap/>
        <w:overflowPunct/>
        <w:topLinePunct w:val="0"/>
        <w:autoSpaceDE/>
        <w:autoSpaceDN/>
        <w:bidi w:val="0"/>
        <w:adjustRightInd/>
        <w:snapToGrid/>
        <w:spacing w:line="700" w:lineRule="exact"/>
        <w:ind w:firstLine="600" w:firstLineChars="200"/>
        <w:jc w:val="both"/>
        <w:textAlignment w:val="auto"/>
        <w:outlineLvl w:val="9"/>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700" w:lineRule="exact"/>
        <w:ind w:firstLine="600" w:firstLineChars="200"/>
        <w:jc w:val="both"/>
        <w:textAlignment w:val="auto"/>
        <w:outlineLvl w:val="9"/>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700" w:lineRule="exact"/>
        <w:ind w:firstLine="600" w:firstLineChars="200"/>
        <w:jc w:val="both"/>
        <w:textAlignment w:val="auto"/>
        <w:outlineLvl w:val="9"/>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700" w:lineRule="exact"/>
        <w:ind w:firstLine="600" w:firstLineChars="200"/>
        <w:jc w:val="both"/>
        <w:textAlignment w:val="auto"/>
        <w:outlineLvl w:val="9"/>
        <w:rPr>
          <w:rFonts w:ascii="仿宋_GB2312" w:hAnsi="仿宋_GB2312" w:eastAsia="仿宋_GB2312" w:cs="仿宋_GB2312"/>
          <w:color w:val="000000" w:themeColor="text1"/>
          <w:kern w:val="0"/>
          <w:sz w:val="30"/>
          <w:szCs w:val="30"/>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附件：河南应用技术职业学院教学工程项目管理办法（试行）</w:t>
      </w:r>
      <w:r>
        <w:rPr>
          <w:rFonts w:hint="eastAsia" w:ascii="仿宋_GB2312" w:hAnsi="仿宋_GB2312" w:eastAsia="仿宋_GB2312" w:cs="仿宋_GB2312"/>
          <w:color w:val="000000" w:themeColor="text1"/>
          <w:kern w:val="0"/>
          <w:sz w:val="30"/>
          <w:szCs w:val="30"/>
          <w:shd w:val="clear" w:color="auto" w:fill="FFFFFF"/>
          <w:lang w:eastAsia="zh-CN"/>
          <w14:textFill>
            <w14:solidFill>
              <w14:schemeClr w14:val="tx1"/>
            </w14:solidFill>
          </w14:textFill>
        </w:rPr>
        <w:t xml:space="preserve">              </w:t>
      </w:r>
      <w:r>
        <w:rPr>
          <w:rFonts w:ascii="仿宋_GB2312" w:hAnsi="仿宋_GB2312" w:eastAsia="仿宋_GB2312" w:cs="仿宋_GB2312"/>
          <w:color w:val="000000" w:themeColor="text1"/>
          <w:kern w:val="0"/>
          <w:sz w:val="30"/>
          <w:szCs w:val="30"/>
          <w:shd w:val="clear" w:color="auto" w:fill="FFFFFF"/>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700" w:lineRule="exact"/>
        <w:jc w:val="both"/>
        <w:textAlignment w:val="auto"/>
        <w:outlineLvl w:val="9"/>
        <w:rPr>
          <w:rFonts w:hint="eastAsia" w:ascii="仿宋_GB2312" w:hAnsi="仿宋_GB2312" w:eastAsia="仿宋_GB2312" w:cs="仿宋_GB2312"/>
          <w:color w:val="000000" w:themeColor="text1"/>
          <w:kern w:val="0"/>
          <w:sz w:val="30"/>
          <w:szCs w:val="30"/>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shd w:val="clear" w:color="auto" w:fill="FFFFFF"/>
          <w:lang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shd w:val="clear" w:color="auto" w:fill="FFFFFF"/>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700" w:lineRule="exact"/>
        <w:ind w:firstLine="4200" w:firstLineChars="1400"/>
        <w:jc w:val="both"/>
        <w:textAlignment w:val="auto"/>
        <w:outlineLvl w:val="9"/>
        <w:rPr>
          <w:rFonts w:hint="eastAsia" w:ascii="方正小标宋简体" w:hAnsi="方正小标宋简体" w:eastAsia="方正小标宋简体" w:cs="方正小标宋简体"/>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30"/>
          <w:szCs w:val="30"/>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2018年5月1</w:t>
      </w:r>
      <w:r>
        <w:rPr>
          <w:rFonts w:hint="eastAsia" w:ascii="仿宋_GB2312" w:hAnsi="仿宋_GB2312" w:eastAsia="仿宋_GB2312" w:cs="仿宋_GB2312"/>
          <w:color w:val="000000" w:themeColor="text1"/>
          <w:kern w:val="0"/>
          <w:sz w:val="30"/>
          <w:szCs w:val="30"/>
          <w:shd w:val="clear" w:color="auto" w:fill="FFFFFF"/>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日</w:t>
      </w:r>
    </w:p>
    <w:p>
      <w:pPr>
        <w:widowControl/>
        <w:spacing w:line="500" w:lineRule="atLeast"/>
        <w:jc w:val="left"/>
        <w:rPr>
          <w:rFonts w:hint="eastAsia" w:ascii="黑体" w:hAnsi="黑体" w:eastAsia="黑体" w:cs="黑体"/>
          <w:color w:val="000000" w:themeColor="text1"/>
          <w:kern w:val="0"/>
          <w:sz w:val="32"/>
          <w:szCs w:val="32"/>
          <w:shd w:val="clear" w:color="auto" w:fill="FFFFFF"/>
          <w14:textFill>
            <w14:solidFill>
              <w14:schemeClr w14:val="tx1"/>
            </w14:solidFill>
          </w14:textFill>
        </w:rPr>
      </w:pPr>
    </w:p>
    <w:p>
      <w:pPr>
        <w:widowControl/>
        <w:spacing w:line="500" w:lineRule="atLeast"/>
        <w:jc w:val="left"/>
        <w:rPr>
          <w:rFonts w:hint="eastAsia" w:ascii="黑体" w:hAnsi="黑体" w:eastAsia="黑体" w:cs="黑体"/>
          <w:color w:val="000000" w:themeColor="text1"/>
          <w:kern w:val="0"/>
          <w:sz w:val="32"/>
          <w:szCs w:val="32"/>
          <w:shd w:val="clear" w:color="auto" w:fill="FFFFFF"/>
          <w14:textFill>
            <w14:solidFill>
              <w14:schemeClr w14:val="tx1"/>
            </w14:solidFill>
          </w14:textFill>
        </w:rPr>
      </w:pPr>
    </w:p>
    <w:p>
      <w:pPr>
        <w:widowControl/>
        <w:spacing w:line="500" w:lineRule="atLeast"/>
        <w:jc w:val="left"/>
        <w:rPr>
          <w:rFonts w:hint="eastAsia" w:ascii="黑体" w:hAnsi="黑体" w:eastAsia="黑体" w:cs="黑体"/>
          <w:color w:val="000000" w:themeColor="text1"/>
          <w:kern w:val="0"/>
          <w:sz w:val="32"/>
          <w:szCs w:val="32"/>
          <w:shd w:val="clear" w:color="auto" w:fill="FFFFFF"/>
          <w14:textFill>
            <w14:solidFill>
              <w14:schemeClr w14:val="tx1"/>
            </w14:solidFill>
          </w14:textFill>
        </w:rPr>
      </w:pPr>
    </w:p>
    <w:p>
      <w:pPr>
        <w:widowControl/>
        <w:spacing w:line="500" w:lineRule="atLeast"/>
        <w:jc w:val="left"/>
        <w:rPr>
          <w:rFonts w:hint="eastAsia" w:ascii="黑体" w:hAnsi="黑体" w:eastAsia="黑体" w:cs="黑体"/>
          <w:color w:val="000000" w:themeColor="text1"/>
          <w:kern w:val="0"/>
          <w:sz w:val="32"/>
          <w:szCs w:val="32"/>
          <w:shd w:val="clear" w:color="auto" w:fill="FFFFFF"/>
          <w14:textFill>
            <w14:solidFill>
              <w14:schemeClr w14:val="tx1"/>
            </w14:solidFill>
          </w14:textFill>
        </w:rPr>
      </w:pPr>
    </w:p>
    <w:p>
      <w:pPr>
        <w:widowControl/>
        <w:spacing w:line="500" w:lineRule="atLeast"/>
        <w:jc w:val="left"/>
        <w:rPr>
          <w:rFonts w:hint="eastAsia" w:ascii="黑体" w:hAnsi="黑体" w:eastAsia="黑体" w:cs="黑体"/>
          <w:color w:val="000000" w:themeColor="text1"/>
          <w:kern w:val="0"/>
          <w:sz w:val="32"/>
          <w:szCs w:val="32"/>
          <w:shd w:val="clear" w:color="auto" w:fill="FFFFFF"/>
          <w14:textFill>
            <w14:solidFill>
              <w14:schemeClr w14:val="tx1"/>
            </w14:solidFill>
          </w14:textFill>
        </w:rPr>
      </w:pPr>
    </w:p>
    <w:p>
      <w:pPr>
        <w:widowControl/>
        <w:spacing w:line="500" w:lineRule="atLeast"/>
        <w:jc w:val="left"/>
        <w:rPr>
          <w:rFonts w:hint="eastAsia" w:ascii="黑体" w:hAnsi="黑体" w:eastAsia="黑体" w:cs="黑体"/>
          <w:color w:val="000000" w:themeColor="text1"/>
          <w:kern w:val="0"/>
          <w:sz w:val="32"/>
          <w:szCs w:val="32"/>
          <w:shd w:val="clear" w:color="auto" w:fill="FFFFFF"/>
          <w14:textFill>
            <w14:solidFill>
              <w14:schemeClr w14:val="tx1"/>
            </w14:solidFill>
          </w14:textFill>
        </w:rPr>
      </w:pPr>
    </w:p>
    <w:p>
      <w:pPr>
        <w:widowControl/>
        <w:spacing w:line="500" w:lineRule="atLeast"/>
        <w:jc w:val="left"/>
        <w:rPr>
          <w:rFonts w:hint="eastAsia" w:ascii="黑体" w:hAnsi="黑体" w:eastAsia="黑体" w:cs="黑体"/>
          <w:color w:val="000000" w:themeColor="text1"/>
          <w:kern w:val="0"/>
          <w:sz w:val="32"/>
          <w:szCs w:val="32"/>
          <w:shd w:val="clear" w:color="auto" w:fill="FFFFFF"/>
          <w14:textFill>
            <w14:solidFill>
              <w14:schemeClr w14:val="tx1"/>
            </w14:solidFill>
          </w14:textFill>
        </w:rPr>
      </w:pPr>
    </w:p>
    <w:p>
      <w:pPr>
        <w:widowControl/>
        <w:spacing w:line="500" w:lineRule="atLeast"/>
        <w:jc w:val="left"/>
        <w:rPr>
          <w:rFonts w:hint="eastAsia" w:ascii="黑体" w:hAnsi="黑体" w:eastAsia="黑体" w:cs="黑体"/>
          <w:color w:val="000000" w:themeColor="text1"/>
          <w:kern w:val="0"/>
          <w:sz w:val="32"/>
          <w:szCs w:val="32"/>
          <w:shd w:val="clear" w:color="auto" w:fill="FFFFFF"/>
          <w14:textFill>
            <w14:solidFill>
              <w14:schemeClr w14:val="tx1"/>
            </w14:solidFill>
          </w14:textFill>
        </w:rPr>
      </w:pPr>
    </w:p>
    <w:p>
      <w:pPr>
        <w:widowControl/>
        <w:spacing w:line="500" w:lineRule="atLeast"/>
        <w:jc w:val="left"/>
        <w:rPr>
          <w:rFonts w:hint="eastAsia" w:ascii="黑体" w:hAnsi="黑体" w:eastAsia="黑体" w:cs="黑体"/>
          <w:color w:val="000000" w:themeColor="text1"/>
          <w:kern w:val="0"/>
          <w:sz w:val="32"/>
          <w:szCs w:val="32"/>
          <w:shd w:val="clear" w:color="auto" w:fill="FFFFFF"/>
          <w14:textFill>
            <w14:solidFill>
              <w14:schemeClr w14:val="tx1"/>
            </w14:solidFill>
          </w14:textFill>
        </w:rPr>
      </w:pPr>
    </w:p>
    <w:p>
      <w:pPr>
        <w:widowControl/>
        <w:spacing w:line="500" w:lineRule="atLeast"/>
        <w:jc w:val="left"/>
        <w:rPr>
          <w:rFonts w:hint="eastAsia" w:ascii="黑体" w:hAnsi="黑体" w:eastAsia="黑体" w:cs="黑体"/>
          <w:color w:val="000000" w:themeColor="text1"/>
          <w:kern w:val="0"/>
          <w:sz w:val="32"/>
          <w:szCs w:val="32"/>
          <w:shd w:val="clear" w:color="auto" w:fill="FFFFFF"/>
          <w14:textFill>
            <w14:solidFill>
              <w14:schemeClr w14:val="tx1"/>
            </w14:solidFill>
          </w14:textFill>
        </w:rPr>
      </w:pPr>
    </w:p>
    <w:p>
      <w:pPr>
        <w:widowControl/>
        <w:spacing w:line="500" w:lineRule="atLeast"/>
        <w:jc w:val="left"/>
        <w:rPr>
          <w:rFonts w:hint="eastAsia" w:ascii="黑体" w:hAnsi="黑体" w:eastAsia="黑体" w:cs="黑体"/>
          <w:color w:val="000000" w:themeColor="text1"/>
          <w:kern w:val="0"/>
          <w:sz w:val="32"/>
          <w:szCs w:val="32"/>
          <w:shd w:val="clear" w:color="auto" w:fill="FFFFFF"/>
          <w14:textFill>
            <w14:solidFill>
              <w14:schemeClr w14:val="tx1"/>
            </w14:solidFill>
          </w14:textFill>
        </w:rPr>
      </w:pPr>
    </w:p>
    <w:p>
      <w:pPr>
        <w:widowControl/>
        <w:spacing w:line="500" w:lineRule="atLeast"/>
        <w:jc w:val="left"/>
        <w:rPr>
          <w:rFonts w:hint="eastAsia" w:ascii="黑体" w:hAnsi="黑体" w:eastAsia="黑体" w:cs="黑体"/>
          <w:color w:val="000000" w:themeColor="text1"/>
          <w:kern w:val="0"/>
          <w:sz w:val="32"/>
          <w:szCs w:val="32"/>
          <w:shd w:val="clear" w:color="auto" w:fill="FFFFFF"/>
          <w14:textFill>
            <w14:solidFill>
              <w14:schemeClr w14:val="tx1"/>
            </w14:solidFill>
          </w14:textFill>
        </w:rPr>
      </w:pPr>
    </w:p>
    <w:p>
      <w:pPr>
        <w:widowControl/>
        <w:spacing w:line="500" w:lineRule="atLeast"/>
        <w:jc w:val="left"/>
        <w:rPr>
          <w:rFonts w:hint="eastAsia" w:ascii="黑体" w:hAnsi="黑体" w:eastAsia="黑体" w:cs="黑体"/>
          <w:color w:val="000000" w:themeColor="text1"/>
          <w:kern w:val="0"/>
          <w:sz w:val="32"/>
          <w:szCs w:val="32"/>
          <w:shd w:val="clear" w:color="auto" w:fill="FFFFFF"/>
          <w14:textFill>
            <w14:solidFill>
              <w14:schemeClr w14:val="tx1"/>
            </w14:solidFill>
          </w14:textFill>
        </w:rPr>
      </w:pPr>
    </w:p>
    <w:p>
      <w:pPr>
        <w:widowControl/>
        <w:spacing w:line="500" w:lineRule="atLeast"/>
        <w:jc w:val="left"/>
        <w:rPr>
          <w:rFonts w:hint="eastAsia" w:ascii="黑体" w:hAnsi="黑体" w:eastAsia="黑体" w:cs="黑体"/>
          <w:color w:val="000000" w:themeColor="text1"/>
          <w:kern w:val="0"/>
          <w:sz w:val="32"/>
          <w:szCs w:val="32"/>
          <w:shd w:val="clear" w:color="auto" w:fill="FFFFFF"/>
          <w14:textFill>
            <w14:solidFill>
              <w14:schemeClr w14:val="tx1"/>
            </w14:solidFill>
          </w14:textFill>
        </w:rPr>
      </w:pPr>
    </w:p>
    <w:p>
      <w:pPr>
        <w:widowControl/>
        <w:spacing w:line="500" w:lineRule="atLeast"/>
        <w:jc w:val="left"/>
        <w:rPr>
          <w:rFonts w:hint="eastAsia" w:ascii="黑体" w:hAnsi="黑体" w:eastAsia="黑体" w:cs="黑体"/>
          <w:color w:val="000000" w:themeColor="text1"/>
          <w:kern w:val="0"/>
          <w:sz w:val="32"/>
          <w:szCs w:val="32"/>
          <w:shd w:val="clear" w:color="auto" w:fill="FFFFFF"/>
          <w14:textFill>
            <w14:solidFill>
              <w14:schemeClr w14:val="tx1"/>
            </w14:solidFill>
          </w14:textFill>
        </w:rPr>
      </w:pPr>
    </w:p>
    <w:p>
      <w:pPr>
        <w:widowControl/>
        <w:spacing w:line="500" w:lineRule="atLeast"/>
        <w:jc w:val="left"/>
        <w:rPr>
          <w:rFonts w:hint="eastAsia" w:ascii="黑体" w:hAnsi="黑体" w:eastAsia="黑体" w:cs="黑体"/>
          <w:color w:val="000000" w:themeColor="text1"/>
          <w:kern w:val="0"/>
          <w:sz w:val="32"/>
          <w:szCs w:val="32"/>
          <w:shd w:val="clear" w:color="auto" w:fill="FFFFFF"/>
          <w14:textFill>
            <w14:solidFill>
              <w14:schemeClr w14:val="tx1"/>
            </w14:solidFill>
          </w14:textFill>
        </w:rPr>
      </w:pPr>
    </w:p>
    <w:p>
      <w:pPr>
        <w:widowControl/>
        <w:spacing w:line="500" w:lineRule="atLeast"/>
        <w:jc w:val="left"/>
        <w:rPr>
          <w:rFonts w:hint="eastAsia" w:ascii="黑体" w:hAnsi="黑体" w:eastAsia="黑体" w:cs="黑体"/>
          <w:color w:val="000000" w:themeColor="text1"/>
          <w:kern w:val="0"/>
          <w:sz w:val="32"/>
          <w:szCs w:val="32"/>
          <w:shd w:val="clear" w:color="auto" w:fill="FFFFFF"/>
          <w14:textFill>
            <w14:solidFill>
              <w14:schemeClr w14:val="tx1"/>
            </w14:solidFill>
          </w14:textFill>
        </w:rPr>
      </w:pPr>
    </w:p>
    <w:p>
      <w:pPr>
        <w:widowControl/>
        <w:spacing w:line="500" w:lineRule="atLeast"/>
        <w:jc w:val="left"/>
        <w:rPr>
          <w:rFonts w:hint="eastAsia" w:ascii="黑体" w:hAnsi="黑体" w:eastAsia="黑体" w:cs="黑体"/>
          <w:color w:val="000000" w:themeColor="text1"/>
          <w:kern w:val="0"/>
          <w:sz w:val="32"/>
          <w:szCs w:val="32"/>
          <w:shd w:val="clear" w:color="auto" w:fill="FFFFFF"/>
          <w14:textFill>
            <w14:solidFill>
              <w14:schemeClr w14:val="tx1"/>
            </w14:solidFill>
          </w14:textFill>
        </w:rPr>
      </w:pPr>
    </w:p>
    <w:p>
      <w:pPr>
        <w:widowControl/>
        <w:spacing w:line="500" w:lineRule="atLeast"/>
        <w:jc w:val="left"/>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shd w:val="clear" w:color="auto" w:fill="FFFFFF"/>
          <w14:textFill>
            <w14:solidFill>
              <w14:schemeClr w14:val="tx1"/>
            </w14:solidFill>
          </w14:textFill>
        </w:rPr>
        <w:t>附</w:t>
      </w:r>
      <w:r>
        <w:rPr>
          <w:rFonts w:hint="eastAsia" w:ascii="黑体" w:hAnsi="黑体" w:eastAsia="黑体" w:cs="黑体"/>
          <w:color w:val="000000" w:themeColor="text1"/>
          <w:kern w:val="0"/>
          <w:sz w:val="32"/>
          <w:szCs w:val="32"/>
          <w:shd w:val="clear" w:color="auto" w:fill="FFFFFF"/>
          <w:lang w:val="en-US" w:eastAsia="zh-CN"/>
          <w14:textFill>
            <w14:solidFill>
              <w14:schemeClr w14:val="tx1"/>
            </w14:solidFill>
          </w14:textFill>
        </w:rPr>
        <w:t xml:space="preserve"> </w:t>
      </w:r>
      <w:r>
        <w:rPr>
          <w:rFonts w:hint="eastAsia" w:ascii="黑体" w:hAnsi="黑体" w:eastAsia="黑体" w:cs="黑体"/>
          <w:color w:val="000000" w:themeColor="text1"/>
          <w:kern w:val="0"/>
          <w:sz w:val="32"/>
          <w:szCs w:val="32"/>
          <w:shd w:val="clear" w:color="auto" w:fill="FFFFFF"/>
          <w14:textFill>
            <w14:solidFill>
              <w14:schemeClr w14:val="tx1"/>
            </w14:solidFill>
          </w14:textFill>
        </w:rPr>
        <w:t>件</w:t>
      </w:r>
    </w:p>
    <w:p>
      <w:pPr>
        <w:widowControl/>
        <w:spacing w:line="500" w:lineRule="atLeast"/>
        <w:jc w:val="cente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河南应用技术职业学院</w:t>
      </w:r>
    </w:p>
    <w:p>
      <w:pPr>
        <w:widowControl/>
        <w:spacing w:line="500" w:lineRule="atLeast"/>
        <w:jc w:val="center"/>
        <w:rPr>
          <w:rFonts w:ascii="方正小标宋简体" w:hAnsi="方正小标宋简体" w:eastAsia="方正小标宋简体" w:cs="方正小标宋简体"/>
          <w:color w:val="000000" w:themeColor="text1"/>
          <w:kern w:val="0"/>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教学工程项目管理办法（试行）</w:t>
      </w:r>
    </w:p>
    <w:p>
      <w:pPr>
        <w:widowControl/>
        <w:spacing w:line="500" w:lineRule="atLeast"/>
        <w:jc w:val="center"/>
        <w:rPr>
          <w:rFonts w:hint="eastAsia" w:ascii="仿宋_GB2312" w:hAnsi="仿宋_GB2312" w:eastAsia="仿宋_GB2312" w:cs="仿宋_GB2312"/>
          <w:b/>
          <w:color w:val="000000" w:themeColor="text1"/>
          <w:sz w:val="30"/>
          <w:szCs w:val="30"/>
          <w14:textFill>
            <w14:solidFill>
              <w14:schemeClr w14:val="tx1"/>
            </w14:solidFill>
          </w14:textFill>
        </w:rPr>
      </w:pPr>
    </w:p>
    <w:p>
      <w:pPr>
        <w:widowControl/>
        <w:spacing w:line="500" w:lineRule="atLeast"/>
        <w:jc w:val="center"/>
        <w:rPr>
          <w:rFonts w:hint="eastAsia"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一</w:t>
      </w:r>
      <w:r>
        <w:rPr>
          <w:rFonts w:hint="eastAsia" w:ascii="仿宋_GB2312" w:hAnsi="仿宋_GB2312" w:eastAsia="仿宋_GB2312" w:cs="仿宋_GB2312"/>
          <w:b/>
          <w:color w:val="000000" w:themeColor="text1"/>
          <w:sz w:val="30"/>
          <w:szCs w:val="30"/>
          <w:lang w:eastAsia="zh-CN"/>
          <w14:textFill>
            <w14:solidFill>
              <w14:schemeClr w14:val="tx1"/>
            </w14:solidFill>
          </w14:textFill>
        </w:rPr>
        <w:t>、</w:t>
      </w:r>
      <w:r>
        <w:rPr>
          <w:rFonts w:hint="eastAsia" w:ascii="仿宋_GB2312" w:hAnsi="仿宋_GB2312" w:eastAsia="仿宋_GB2312" w:cs="仿宋_GB2312"/>
          <w:b/>
          <w:color w:val="000000" w:themeColor="text1"/>
          <w:sz w:val="30"/>
          <w:szCs w:val="30"/>
          <w14:textFill>
            <w14:solidFill>
              <w14:schemeClr w14:val="tx1"/>
            </w14:solidFill>
          </w14:textFill>
        </w:rPr>
        <w:t>总则</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562"/>
        <w:textAlignment w:val="auto"/>
        <w:outlineLvl w:val="9"/>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0"/>
          <w:szCs w:val="30"/>
          <w:shd w:val="clear" w:color="auto" w:fill="FFFFFF"/>
          <w14:textFill>
            <w14:solidFill>
              <w14:schemeClr w14:val="tx1"/>
            </w14:solidFill>
          </w14:textFill>
        </w:rPr>
        <w:t>第一条</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 xml:space="preserve">  为深化教育教学改革，促进人才培养质量提升，推动我校各级各类教学工程项目建设工作的深入开展，强化我校教学工程项目的培育和建设质量的提升，进一步规范教学工程项目立项</w:t>
      </w:r>
      <w:r>
        <w:rPr>
          <w:rFonts w:hint="eastAsia" w:ascii="仿宋_GB2312" w:hAnsi="仿宋_GB2312" w:eastAsia="仿宋_GB2312" w:cs="仿宋_GB2312"/>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结项及建设资金的管理与使用，确保项目建设的顺利完成并取得实效，特制定本办法。</w:t>
      </w:r>
    </w:p>
    <w:p>
      <w:pPr>
        <w:keepNext w:val="0"/>
        <w:keepLines w:val="0"/>
        <w:pageBreakBefore w:val="0"/>
        <w:kinsoku/>
        <w:wordWrap/>
        <w:overflowPunct/>
        <w:topLinePunct w:val="0"/>
        <w:autoSpaceDE/>
        <w:autoSpaceDN/>
        <w:bidi w:val="0"/>
        <w:adjustRightInd/>
        <w:snapToGrid/>
        <w:spacing w:line="660" w:lineRule="exact"/>
        <w:ind w:firstLine="602" w:firstLineChars="200"/>
        <w:textAlignment w:val="auto"/>
        <w:outlineLvl w:val="9"/>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第二条</w:t>
      </w:r>
      <w:r>
        <w:rPr>
          <w:rFonts w:hint="eastAsia" w:ascii="仿宋_GB2312" w:hAnsi="仿宋_GB2312" w:eastAsia="仿宋_GB2312" w:cs="仿宋_GB2312"/>
          <w:color w:val="000000" w:themeColor="text1"/>
          <w:sz w:val="30"/>
          <w:szCs w:val="30"/>
          <w:lang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教学工程项目建设以提高人才培养质量为宗旨，以推进教学改革和强化内涵建设为目标，坚持“整体规划</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强化特色</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注重创新</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分步建设</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全面提高”的原则，通过项目建设不断深化教育教学改革，有效提升人才培养质量。</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562"/>
        <w:textAlignment w:val="auto"/>
        <w:outlineLvl w:val="9"/>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0"/>
          <w:szCs w:val="30"/>
          <w:shd w:val="clear" w:color="auto" w:fill="FFFFFF"/>
          <w14:textFill>
            <w14:solidFill>
              <w14:schemeClr w14:val="tx1"/>
            </w14:solidFill>
          </w14:textFill>
        </w:rPr>
        <w:t>第三条</w:t>
      </w:r>
      <w:r>
        <w:rPr>
          <w:rFonts w:hint="eastAsia" w:ascii="仿宋_GB2312" w:hAnsi="仿宋_GB2312" w:eastAsia="仿宋_GB2312" w:cs="仿宋_GB2312"/>
          <w:bCs/>
          <w:color w:val="000000" w:themeColor="text1"/>
          <w:kern w:val="0"/>
          <w:sz w:val="30"/>
          <w:szCs w:val="30"/>
          <w:shd w:val="clear" w:color="auto" w:fill="FFFFFF"/>
          <w:lang w:eastAsia="zh-CN"/>
          <w14:textFill>
            <w14:solidFill>
              <w14:schemeClr w14:val="tx1"/>
            </w14:solidFill>
          </w14:textFill>
        </w:rPr>
        <w:t xml:space="preserve">  </w:t>
      </w:r>
      <w:r>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t>教学工程项目分为国家级</w:t>
      </w:r>
      <w:r>
        <w:rPr>
          <w:rFonts w:hint="eastAsia" w:ascii="仿宋_GB2312" w:hAnsi="仿宋_GB2312" w:eastAsia="仿宋_GB2312" w:cs="仿宋_GB2312"/>
          <w:bCs/>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t>省级</w:t>
      </w:r>
      <w:r>
        <w:rPr>
          <w:rFonts w:hint="eastAsia" w:ascii="仿宋_GB2312" w:hAnsi="仿宋_GB2312" w:eastAsia="仿宋_GB2312" w:cs="仿宋_GB2312"/>
          <w:bCs/>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t>校级三个级别。学校采取逐级培育建设机制，原则上省级</w:t>
      </w:r>
      <w:r>
        <w:rPr>
          <w:rFonts w:hint="eastAsia" w:ascii="仿宋_GB2312" w:hAnsi="仿宋_GB2312" w:eastAsia="仿宋_GB2312" w:cs="仿宋_GB2312"/>
          <w:bCs/>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t>国家级教学工程项目应从校级教学工程立项建设项目中遴选申报。</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562"/>
        <w:textAlignment w:val="auto"/>
        <w:outlineLvl w:val="9"/>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0"/>
          <w:szCs w:val="30"/>
          <w:shd w:val="clear" w:color="auto" w:fill="FFFFFF"/>
          <w14:textFill>
            <w14:solidFill>
              <w14:schemeClr w14:val="tx1"/>
            </w14:solidFill>
          </w14:textFill>
        </w:rPr>
        <w:t>第四条</w:t>
      </w:r>
      <w:bookmarkStart w:id="0" w:name="OLE_LINK4"/>
      <w:bookmarkStart w:id="1" w:name="OLE_LINK3"/>
      <w:bookmarkStart w:id="2" w:name="OLE_LINK5"/>
      <w:r>
        <w:rPr>
          <w:rFonts w:hint="eastAsia" w:ascii="仿宋_GB2312" w:hAnsi="仿宋_GB2312" w:eastAsia="仿宋_GB2312" w:cs="仿宋_GB2312"/>
          <w:color w:val="000000" w:themeColor="text1"/>
          <w:kern w:val="0"/>
          <w:sz w:val="30"/>
          <w:szCs w:val="30"/>
          <w:shd w:val="clear" w:color="auto" w:fill="FFFFFF"/>
          <w:lang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校级</w:t>
      </w:r>
      <w:r>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t>教学工程项目</w:t>
      </w:r>
      <w:bookmarkEnd w:id="0"/>
      <w:bookmarkEnd w:id="1"/>
      <w:bookmarkEnd w:id="2"/>
      <w:r>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t>参照国家</w:t>
      </w:r>
      <w:r>
        <w:rPr>
          <w:rFonts w:hint="eastAsia" w:ascii="仿宋_GB2312" w:hAnsi="仿宋_GB2312" w:eastAsia="仿宋_GB2312" w:cs="仿宋_GB2312"/>
          <w:bCs/>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t>省（教育厅）发布的教学工程项目类别（名称），主要针对专业建设</w:t>
      </w:r>
      <w:r>
        <w:rPr>
          <w:rFonts w:hint="eastAsia" w:ascii="仿宋_GB2312" w:hAnsi="仿宋_GB2312" w:eastAsia="仿宋_GB2312" w:cs="仿宋_GB2312"/>
          <w:bCs/>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t>师资培养</w:t>
      </w:r>
      <w:r>
        <w:rPr>
          <w:rFonts w:hint="eastAsia" w:ascii="仿宋_GB2312" w:hAnsi="仿宋_GB2312" w:eastAsia="仿宋_GB2312" w:cs="仿宋_GB2312"/>
          <w:bCs/>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t>教学组织建设</w:t>
      </w:r>
      <w:r>
        <w:rPr>
          <w:rFonts w:hint="eastAsia" w:ascii="仿宋_GB2312" w:hAnsi="仿宋_GB2312" w:eastAsia="仿宋_GB2312" w:cs="仿宋_GB2312"/>
          <w:bCs/>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t>课程与教学资源建设等方面设置，同时可结合学校教学改革和内涵建设实际需要适当补充类别。教学工程的项目类别（名称）跟随国家</w:t>
      </w:r>
      <w:r>
        <w:rPr>
          <w:rFonts w:hint="eastAsia" w:ascii="仿宋_GB2312" w:hAnsi="仿宋_GB2312" w:eastAsia="仿宋_GB2312" w:cs="仿宋_GB2312"/>
          <w:bCs/>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t>省（教育厅）项目发布的变化而做相应调整。</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562"/>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kern w:val="0"/>
          <w:sz w:val="30"/>
          <w:szCs w:val="30"/>
          <w:shd w:val="clear" w:color="auto" w:fill="FFFFFF"/>
          <w14:textFill>
            <w14:solidFill>
              <w14:schemeClr w14:val="tx1"/>
            </w14:solidFill>
          </w14:textFill>
        </w:rPr>
        <w:t>第五条</w:t>
      </w:r>
      <w:r>
        <w:rPr>
          <w:rFonts w:hint="eastAsia" w:ascii="仿宋_GB2312" w:hAnsi="仿宋_GB2312" w:eastAsia="仿宋_GB2312" w:cs="仿宋_GB2312"/>
          <w:b/>
          <w:color w:val="000000" w:themeColor="text1"/>
          <w:kern w:val="0"/>
          <w:sz w:val="30"/>
          <w:szCs w:val="30"/>
          <w:shd w:val="clear" w:color="auto" w:fill="FFFFFF"/>
          <w:lang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有财政资金支持的国家级</w:t>
      </w:r>
      <w:r>
        <w:rPr>
          <w:rFonts w:hint="eastAsia" w:ascii="仿宋_GB2312" w:hAnsi="仿宋_GB2312" w:eastAsia="仿宋_GB2312" w:cs="仿宋_GB2312"/>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省级（省教育厅立项）</w:t>
      </w:r>
      <w:r>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t>教学工程</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项目，在确保其资金专款专用的同时，学校根据有关规定和要求提供相应配套资金；同时，学校为校级</w:t>
      </w:r>
      <w:r>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t>教学工程</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项目提供建设资金支持。</w:t>
      </w:r>
    </w:p>
    <w:p>
      <w:pPr>
        <w:keepNext w:val="0"/>
        <w:keepLines w:val="0"/>
        <w:pageBreakBefore w:val="0"/>
        <w:widowControl/>
        <w:kinsoku/>
        <w:wordWrap/>
        <w:overflowPunct/>
        <w:topLinePunct w:val="0"/>
        <w:autoSpaceDE/>
        <w:autoSpaceDN/>
        <w:bidi w:val="0"/>
        <w:adjustRightInd/>
        <w:snapToGrid/>
        <w:spacing w:line="660" w:lineRule="exact"/>
        <w:jc w:val="center"/>
        <w:textAlignment w:val="auto"/>
        <w:outlineLvl w:val="9"/>
        <w:rPr>
          <w:rFonts w:hint="eastAsia"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二</w:t>
      </w:r>
      <w:r>
        <w:rPr>
          <w:rFonts w:hint="eastAsia" w:ascii="仿宋_GB2312" w:hAnsi="仿宋_GB2312" w:eastAsia="仿宋_GB2312" w:cs="仿宋_GB2312"/>
          <w:b/>
          <w:color w:val="000000" w:themeColor="text1"/>
          <w:sz w:val="30"/>
          <w:szCs w:val="30"/>
          <w:lang w:eastAsia="zh-CN"/>
          <w14:textFill>
            <w14:solidFill>
              <w14:schemeClr w14:val="tx1"/>
            </w14:solidFill>
          </w14:textFill>
        </w:rPr>
        <w:t>、</w:t>
      </w:r>
      <w:r>
        <w:rPr>
          <w:rFonts w:hint="eastAsia" w:ascii="仿宋_GB2312" w:hAnsi="仿宋_GB2312" w:eastAsia="仿宋_GB2312" w:cs="仿宋_GB2312"/>
          <w:b/>
          <w:color w:val="000000" w:themeColor="text1"/>
          <w:sz w:val="30"/>
          <w:szCs w:val="30"/>
          <w14:textFill>
            <w14:solidFill>
              <w14:schemeClr w14:val="tx1"/>
            </w14:solidFill>
          </w14:textFill>
        </w:rPr>
        <w:t>教学工程项目管理</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562"/>
        <w:textAlignment w:val="auto"/>
        <w:outlineLvl w:val="9"/>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0"/>
          <w:szCs w:val="30"/>
          <w:shd w:val="clear" w:color="auto" w:fill="FFFFFF"/>
          <w14:textFill>
            <w14:solidFill>
              <w14:schemeClr w14:val="tx1"/>
            </w14:solidFill>
          </w14:textFill>
        </w:rPr>
        <w:t>第六条</w:t>
      </w:r>
      <w:r>
        <w:rPr>
          <w:rFonts w:hint="eastAsia" w:ascii="仿宋_GB2312" w:hAnsi="仿宋_GB2312" w:eastAsia="仿宋_GB2312" w:cs="仿宋_GB2312"/>
          <w:b/>
          <w:color w:val="000000" w:themeColor="text1"/>
          <w:kern w:val="0"/>
          <w:sz w:val="30"/>
          <w:szCs w:val="30"/>
          <w:shd w:val="clear" w:color="auto" w:fill="FFFFFF"/>
          <w:lang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国家级</w:t>
      </w:r>
      <w:r>
        <w:rPr>
          <w:rFonts w:hint="eastAsia" w:ascii="仿宋_GB2312" w:hAnsi="仿宋_GB2312" w:eastAsia="仿宋_GB2312" w:cs="仿宋_GB2312"/>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省级</w:t>
      </w:r>
      <w:r>
        <w:rPr>
          <w:rFonts w:hint="eastAsia" w:ascii="仿宋_GB2312" w:hAnsi="仿宋_GB2312" w:eastAsia="仿宋_GB2312" w:cs="仿宋_GB2312"/>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校级教学工程项目均由学校教学工作委员会负责统一管理。校级教学工程项目由学校教学工作委员会组织成立项目建设专家组，具体开展调研</w:t>
      </w:r>
      <w:r>
        <w:rPr>
          <w:rFonts w:hint="eastAsia" w:ascii="仿宋_GB2312" w:hAnsi="仿宋_GB2312" w:eastAsia="仿宋_GB2312" w:cs="仿宋_GB2312"/>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立项</w:t>
      </w:r>
      <w:r>
        <w:rPr>
          <w:rFonts w:hint="eastAsia" w:ascii="仿宋_GB2312" w:hAnsi="仿宋_GB2312" w:eastAsia="仿宋_GB2312" w:cs="仿宋_GB2312"/>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中期督查</w:t>
      </w:r>
      <w:r>
        <w:rPr>
          <w:rFonts w:hint="eastAsia" w:ascii="仿宋_GB2312" w:hAnsi="仿宋_GB2312" w:eastAsia="仿宋_GB2312" w:cs="仿宋_GB2312"/>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结项等有关建设工作。</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562"/>
        <w:textAlignment w:val="auto"/>
        <w:outlineLvl w:val="9"/>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0"/>
          <w:szCs w:val="30"/>
          <w:shd w:val="clear" w:color="auto" w:fill="FFFFFF"/>
          <w14:textFill>
            <w14:solidFill>
              <w14:schemeClr w14:val="tx1"/>
            </w14:solidFill>
          </w14:textFill>
        </w:rPr>
        <w:t>第七条</w:t>
      </w:r>
      <w:r>
        <w:rPr>
          <w:rFonts w:hint="eastAsia" w:ascii="仿宋_GB2312" w:hAnsi="仿宋_GB2312" w:eastAsia="仿宋_GB2312" w:cs="仿宋_GB2312"/>
          <w:color w:val="000000" w:themeColor="text1"/>
          <w:kern w:val="0"/>
          <w:sz w:val="30"/>
          <w:szCs w:val="30"/>
          <w:shd w:val="clear" w:color="auto" w:fill="FFFFFF"/>
          <w:lang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校级教学工程项目采取年度立项建设制度，每年由教学工作委员会主持开展调研，主要根据省教育厅开展的相关建设方向和类别，结合学校教学改革和内涵建设需要确定年度立项建设项目类别</w:t>
      </w:r>
      <w:r>
        <w:rPr>
          <w:rFonts w:hint="eastAsia" w:ascii="仿宋_GB2312" w:hAnsi="仿宋_GB2312" w:eastAsia="仿宋_GB2312" w:cs="仿宋_GB2312"/>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数量等，发布年度立项通知（文件），通过申报</w:t>
      </w:r>
      <w:r>
        <w:rPr>
          <w:rFonts w:hint="eastAsia" w:ascii="仿宋_GB2312" w:hAnsi="仿宋_GB2312" w:eastAsia="仿宋_GB2312" w:cs="仿宋_GB2312"/>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评审</w:t>
      </w:r>
      <w:r>
        <w:rPr>
          <w:rFonts w:hint="eastAsia" w:ascii="仿宋_GB2312" w:hAnsi="仿宋_GB2312" w:eastAsia="仿宋_GB2312" w:cs="仿宋_GB2312"/>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遴选等环节选定立项项目，发布立项文件。</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562"/>
        <w:textAlignment w:val="auto"/>
        <w:outlineLvl w:val="9"/>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0"/>
          <w:szCs w:val="30"/>
          <w:shd w:val="clear" w:color="auto" w:fill="FFFFFF"/>
          <w14:textFill>
            <w14:solidFill>
              <w14:schemeClr w14:val="tx1"/>
            </w14:solidFill>
          </w14:textFill>
        </w:rPr>
        <w:t>第八条</w:t>
      </w:r>
      <w:r>
        <w:rPr>
          <w:rFonts w:hint="eastAsia" w:ascii="仿宋_GB2312" w:hAnsi="仿宋_GB2312" w:eastAsia="仿宋_GB2312" w:cs="仿宋_GB2312"/>
          <w:color w:val="000000" w:themeColor="text1"/>
          <w:kern w:val="0"/>
          <w:sz w:val="30"/>
          <w:szCs w:val="30"/>
          <w:shd w:val="clear" w:color="auto" w:fill="FFFFFF"/>
          <w:lang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校级教学工程项目的建设周期根据不同项目类别的特点和建设需要具体确定，在年度立项通知文件中应明确对应结项时间。特殊情况需要延期结项的，由项目团队提出申请并经学校教学工作委员会审核同意方可适当延期，但总建设期限不得超过3年。</w:t>
      </w:r>
    </w:p>
    <w:p>
      <w:pPr>
        <w:keepNext w:val="0"/>
        <w:keepLines w:val="0"/>
        <w:pageBreakBefore w:val="0"/>
        <w:kinsoku/>
        <w:wordWrap/>
        <w:overflowPunct/>
        <w:topLinePunct w:val="0"/>
        <w:autoSpaceDE/>
        <w:autoSpaceDN/>
        <w:bidi w:val="0"/>
        <w:adjustRightInd/>
        <w:snapToGrid/>
        <w:spacing w:line="660" w:lineRule="exact"/>
        <w:ind w:firstLine="602" w:firstLineChars="200"/>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kern w:val="0"/>
          <w:sz w:val="30"/>
          <w:szCs w:val="30"/>
          <w:shd w:val="clear" w:color="auto" w:fill="FFFFFF"/>
          <w14:textFill>
            <w14:solidFill>
              <w14:schemeClr w14:val="tx1"/>
            </w14:solidFill>
          </w14:textFill>
        </w:rPr>
        <w:t>第九条</w:t>
      </w:r>
      <w:r>
        <w:rPr>
          <w:rFonts w:hint="eastAsia" w:ascii="仿宋_GB2312" w:hAnsi="仿宋_GB2312" w:eastAsia="仿宋_GB2312" w:cs="仿宋_GB2312"/>
          <w:color w:val="000000" w:themeColor="text1"/>
          <w:kern w:val="0"/>
          <w:sz w:val="30"/>
          <w:szCs w:val="30"/>
          <w:shd w:val="clear" w:color="auto" w:fill="FFFFFF"/>
          <w:lang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校级教学工程项目实行主持人负责制，项目主持人原则上应具有中级以上职称，</w:t>
      </w:r>
      <w:r>
        <w:rPr>
          <w:rFonts w:hint="eastAsia" w:ascii="仿宋_GB2312" w:hAnsi="仿宋_GB2312" w:eastAsia="仿宋_GB2312" w:cs="仿宋_GB2312"/>
          <w:color w:val="000000" w:themeColor="text1"/>
          <w:sz w:val="30"/>
          <w:szCs w:val="30"/>
          <w14:textFill>
            <w14:solidFill>
              <w14:schemeClr w14:val="tx1"/>
            </w14:solidFill>
          </w14:textFill>
        </w:rPr>
        <w:t>有丰富的教学实践经历</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较高的研究水平</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较强的组织管理能力。</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项目主持人负责主持项目的调研论证</w:t>
      </w:r>
      <w:r>
        <w:rPr>
          <w:rFonts w:hint="eastAsia" w:ascii="仿宋_GB2312" w:hAnsi="仿宋_GB2312" w:eastAsia="仿宋_GB2312" w:cs="仿宋_GB2312"/>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方案设计</w:t>
      </w:r>
      <w:r>
        <w:rPr>
          <w:rFonts w:hint="eastAsia" w:ascii="仿宋_GB2312" w:hAnsi="仿宋_GB2312" w:eastAsia="仿宋_GB2312" w:cs="仿宋_GB2312"/>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项目结项</w:t>
      </w:r>
      <w:r>
        <w:rPr>
          <w:rFonts w:hint="eastAsia" w:ascii="仿宋_GB2312" w:hAnsi="仿宋_GB2312" w:eastAsia="仿宋_GB2312" w:cs="仿宋_GB2312"/>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实践应用和经费使用等工作。</w:t>
      </w:r>
      <w:r>
        <w:rPr>
          <w:rFonts w:hint="eastAsia" w:ascii="仿宋_GB2312" w:hAnsi="仿宋_GB2312" w:eastAsia="仿宋_GB2312" w:cs="仿宋_GB2312"/>
          <w:color w:val="000000" w:themeColor="text1"/>
          <w:sz w:val="30"/>
          <w:szCs w:val="30"/>
          <w14:textFill>
            <w14:solidFill>
              <w14:schemeClr w14:val="tx1"/>
            </w14:solidFill>
          </w14:textFill>
        </w:rPr>
        <w:t>项目团队成员限定为8人以内，项目成员必须直接参加项目方案设计</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论证</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研究和实施。立项的项目团队应严格按照有关申报材料中制订的建设规划如期实施并完成各项建设任务。</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562"/>
        <w:textAlignment w:val="auto"/>
        <w:outlineLvl w:val="9"/>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第十条</w:t>
      </w:r>
      <w:r>
        <w:rPr>
          <w:rFonts w:hint="eastAsia" w:ascii="仿宋_GB2312" w:hAnsi="仿宋_GB2312" w:eastAsia="仿宋_GB2312" w:cs="仿宋_GB2312"/>
          <w:color w:val="000000" w:themeColor="text1"/>
          <w:sz w:val="30"/>
          <w:szCs w:val="30"/>
          <w:lang w:eastAsia="zh-CN"/>
          <w14:textFill>
            <w14:solidFill>
              <w14:schemeClr w14:val="tx1"/>
            </w14:solidFill>
          </w14:textFill>
        </w:rPr>
        <w:t xml:space="preserve">  </w:t>
      </w:r>
      <w:r>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t>项目在建设过程中若出现以下情况，学校将收回支持资金，并视情节轻重依照有关法律法规和学校规章制度追究项目主持人的责任，项目主持人</w:t>
      </w:r>
      <w:r>
        <w:rPr>
          <w:rFonts w:hint="eastAsia" w:ascii="仿宋_GB2312" w:hAnsi="仿宋_GB2312" w:eastAsia="仿宋_GB2312" w:cs="仿宋_GB2312"/>
          <w:color w:val="000000" w:themeColor="text1"/>
          <w:kern w:val="0"/>
          <w:sz w:val="30"/>
          <w:szCs w:val="30"/>
          <w:lang w:eastAsia="zh-TW"/>
          <w14:textFill>
            <w14:solidFill>
              <w14:schemeClr w14:val="tx1"/>
            </w14:solidFill>
          </w14:textFill>
        </w:rPr>
        <w:t>二年内不得申</w:t>
      </w:r>
      <w:r>
        <w:rPr>
          <w:rFonts w:hint="eastAsia" w:ascii="仿宋_GB2312" w:hAnsi="仿宋_GB2312" w:eastAsia="仿宋_GB2312" w:cs="仿宋_GB2312"/>
          <w:color w:val="000000" w:themeColor="text1"/>
          <w:kern w:val="0"/>
          <w:sz w:val="30"/>
          <w:szCs w:val="30"/>
          <w14:textFill>
            <w14:solidFill>
              <w14:schemeClr w14:val="tx1"/>
            </w14:solidFill>
          </w14:textFill>
        </w:rPr>
        <w:t>报</w:t>
      </w:r>
      <w:r>
        <w:rPr>
          <w:rFonts w:hint="eastAsia" w:ascii="仿宋_GB2312" w:hAnsi="仿宋_GB2312" w:eastAsia="仿宋_GB2312" w:cs="仿宋_GB2312"/>
          <w:color w:val="000000" w:themeColor="text1"/>
          <w:kern w:val="0"/>
          <w:sz w:val="30"/>
          <w:szCs w:val="30"/>
          <w:lang w:eastAsia="zh-TW"/>
          <w14:textFill>
            <w14:solidFill>
              <w14:schemeClr w14:val="tx1"/>
            </w14:solidFill>
          </w14:textFill>
        </w:rPr>
        <w:t>新</w:t>
      </w:r>
      <w:r>
        <w:rPr>
          <w:rFonts w:hint="eastAsia" w:ascii="仿宋_GB2312" w:hAnsi="仿宋_GB2312" w:eastAsia="仿宋_GB2312" w:cs="仿宋_GB2312"/>
          <w:color w:val="000000" w:themeColor="text1"/>
          <w:kern w:val="0"/>
          <w:sz w:val="30"/>
          <w:szCs w:val="30"/>
          <w14:textFill>
            <w14:solidFill>
              <w14:schemeClr w14:val="tx1"/>
            </w14:solidFill>
          </w14:textFill>
        </w:rPr>
        <w:t>的教学改革项目：（1）</w:t>
      </w:r>
      <w:r>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t>学术行为不端</w:t>
      </w:r>
      <w:r>
        <w:rPr>
          <w:rFonts w:hint="eastAsia" w:ascii="仿宋_GB2312" w:hAnsi="仿宋_GB2312" w:eastAsia="仿宋_GB2312" w:cs="仿宋_GB2312"/>
          <w:bCs/>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t>剽窃他人成果；（2）没有按期完成项目建设任务，</w:t>
      </w:r>
      <w:r>
        <w:rPr>
          <w:rFonts w:hint="eastAsia" w:ascii="仿宋_GB2312" w:hAnsi="仿宋_GB2312" w:eastAsia="仿宋_GB2312" w:cs="仿宋_GB2312"/>
          <w:color w:val="000000" w:themeColor="text1"/>
          <w:kern w:val="0"/>
          <w:sz w:val="30"/>
          <w:szCs w:val="30"/>
          <w:lang w:eastAsia="zh-TW"/>
          <w14:textFill>
            <w14:solidFill>
              <w14:schemeClr w14:val="tx1"/>
            </w14:solidFill>
          </w14:textFill>
        </w:rPr>
        <w:t>获准延期</w:t>
      </w:r>
      <w:r>
        <w:rPr>
          <w:rFonts w:hint="eastAsia" w:ascii="仿宋_GB2312" w:hAnsi="仿宋_GB2312" w:eastAsia="仿宋_GB2312" w:cs="仿宋_GB2312"/>
          <w:color w:val="000000" w:themeColor="text1"/>
          <w:kern w:val="0"/>
          <w:sz w:val="30"/>
          <w:szCs w:val="30"/>
          <w14:textFill>
            <w14:solidFill>
              <w14:schemeClr w14:val="tx1"/>
            </w14:solidFill>
          </w14:textFill>
        </w:rPr>
        <w:t>后</w:t>
      </w:r>
      <w:r>
        <w:rPr>
          <w:rFonts w:hint="eastAsia" w:ascii="仿宋_GB2312" w:hAnsi="仿宋_GB2312" w:eastAsia="仿宋_GB2312" w:cs="仿宋_GB2312"/>
          <w:color w:val="000000" w:themeColor="text1"/>
          <w:kern w:val="0"/>
          <w:sz w:val="30"/>
          <w:szCs w:val="30"/>
          <w:lang w:eastAsia="zh-TW"/>
          <w14:textFill>
            <w14:solidFill>
              <w14:schemeClr w14:val="tx1"/>
            </w14:solidFill>
          </w14:textFill>
        </w:rPr>
        <w:t>，仍</w:t>
      </w:r>
      <w:r>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t>未能按期结项；（3）违规使用教学改革项目经费为个人谋利。</w:t>
      </w:r>
    </w:p>
    <w:p>
      <w:pPr>
        <w:keepNext w:val="0"/>
        <w:keepLines w:val="0"/>
        <w:pageBreakBefore w:val="0"/>
        <w:kinsoku/>
        <w:wordWrap/>
        <w:overflowPunct/>
        <w:topLinePunct w:val="0"/>
        <w:autoSpaceDE/>
        <w:autoSpaceDN/>
        <w:bidi w:val="0"/>
        <w:adjustRightInd/>
        <w:snapToGrid/>
        <w:spacing w:line="660" w:lineRule="exact"/>
        <w:jc w:val="center"/>
        <w:textAlignment w:val="auto"/>
        <w:outlineLvl w:val="9"/>
        <w:rPr>
          <w:rFonts w:hint="eastAsia"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三</w:t>
      </w:r>
      <w:r>
        <w:rPr>
          <w:rFonts w:hint="eastAsia" w:ascii="仿宋_GB2312" w:hAnsi="仿宋_GB2312" w:eastAsia="仿宋_GB2312" w:cs="仿宋_GB2312"/>
          <w:b/>
          <w:color w:val="000000" w:themeColor="text1"/>
          <w:sz w:val="30"/>
          <w:szCs w:val="30"/>
          <w:lang w:eastAsia="zh-CN"/>
          <w14:textFill>
            <w14:solidFill>
              <w14:schemeClr w14:val="tx1"/>
            </w14:solidFill>
          </w14:textFill>
        </w:rPr>
        <w:t>、</w:t>
      </w:r>
      <w:r>
        <w:rPr>
          <w:rFonts w:hint="eastAsia" w:ascii="仿宋_GB2312" w:hAnsi="仿宋_GB2312" w:eastAsia="仿宋_GB2312" w:cs="仿宋_GB2312"/>
          <w:b/>
          <w:color w:val="000000" w:themeColor="text1"/>
          <w:sz w:val="30"/>
          <w:szCs w:val="30"/>
          <w14:textFill>
            <w14:solidFill>
              <w14:schemeClr w14:val="tx1"/>
            </w14:solidFill>
          </w14:textFill>
        </w:rPr>
        <w:t>项目资金支持办法</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557"/>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kern w:val="0"/>
          <w:sz w:val="30"/>
          <w:szCs w:val="30"/>
          <w:shd w:val="clear" w:color="auto" w:fill="FFFFFF"/>
          <w14:textFill>
            <w14:solidFill>
              <w14:schemeClr w14:val="tx1"/>
            </w14:solidFill>
          </w14:textFill>
        </w:rPr>
        <w:t>第十一条</w:t>
      </w:r>
      <w:r>
        <w:rPr>
          <w:rFonts w:hint="eastAsia" w:ascii="仿宋_GB2312" w:hAnsi="仿宋_GB2312" w:eastAsia="仿宋_GB2312" w:cs="仿宋_GB2312"/>
          <w:b/>
          <w:color w:val="000000" w:themeColor="text1"/>
          <w:kern w:val="0"/>
          <w:sz w:val="30"/>
          <w:szCs w:val="30"/>
          <w:shd w:val="clear" w:color="auto" w:fill="FFFFFF"/>
          <w:lang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对有财政资金支持的国家级</w:t>
      </w:r>
      <w:r>
        <w:rPr>
          <w:rFonts w:hint="eastAsia" w:ascii="仿宋_GB2312" w:hAnsi="仿宋_GB2312" w:eastAsia="仿宋_GB2312" w:cs="仿宋_GB2312"/>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省级教学工程项目，学校原则上按照1:1给予配套资金，用于支持项目建设。</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602" w:firstLineChars="200"/>
        <w:textAlignment w:val="auto"/>
        <w:outlineLvl w:val="9"/>
        <w:rPr>
          <w:rFonts w:hint="eastAsia" w:ascii="仿宋_GB2312" w:hAnsi="仿宋_GB2312" w:eastAsia="仿宋_GB2312" w:cs="仿宋_GB2312"/>
          <w:color w:val="000000" w:themeColor="text1"/>
          <w:kern w:val="0"/>
          <w:sz w:val="30"/>
          <w:szCs w:val="30"/>
          <w:shd w:val="clear" w:color="auto" w:fill="FFFFFF"/>
          <w:lang w:eastAsia="zh-CN"/>
          <w14:textFill>
            <w14:solidFill>
              <w14:schemeClr w14:val="tx1"/>
            </w14:solidFill>
          </w14:textFill>
        </w:rPr>
      </w:pPr>
      <w:r>
        <w:rPr>
          <w:rFonts w:hint="eastAsia" w:ascii="仿宋_GB2312" w:hAnsi="仿宋_GB2312" w:eastAsia="仿宋_GB2312" w:cs="仿宋_GB2312"/>
          <w:b/>
          <w:color w:val="000000" w:themeColor="text1"/>
          <w:kern w:val="0"/>
          <w:sz w:val="30"/>
          <w:szCs w:val="30"/>
          <w:shd w:val="clear" w:color="auto" w:fill="FFFFFF"/>
          <w14:textFill>
            <w14:solidFill>
              <w14:schemeClr w14:val="tx1"/>
            </w14:solidFill>
          </w14:textFill>
        </w:rPr>
        <w:t>第十二条</w:t>
      </w:r>
      <w:r>
        <w:rPr>
          <w:rFonts w:hint="eastAsia" w:ascii="仿宋_GB2312" w:hAnsi="仿宋_GB2312" w:eastAsia="仿宋_GB2312" w:cs="仿宋_GB2312"/>
          <w:b/>
          <w:color w:val="000000" w:themeColor="text1"/>
          <w:kern w:val="0"/>
          <w:sz w:val="30"/>
          <w:szCs w:val="30"/>
          <w:shd w:val="clear" w:color="auto" w:fill="FFFFFF"/>
          <w:lang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对没有财政资金支持的国家级</w:t>
      </w:r>
      <w:r>
        <w:rPr>
          <w:rFonts w:hint="eastAsia" w:ascii="仿宋_GB2312" w:hAnsi="仿宋_GB2312" w:eastAsia="仿宋_GB2312" w:cs="仿宋_GB2312"/>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省级教学工程项目，学校根据项目级别提供相应资金支持，基本标准为国家级5万元</w:t>
      </w:r>
      <w:r>
        <w:rPr>
          <w:rFonts w:hint="eastAsia" w:ascii="仿宋_GB2312" w:hAnsi="仿宋_GB2312" w:eastAsia="仿宋_GB2312" w:cs="仿宋_GB2312"/>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省级3万元。资金支持标准需要变更时，报经学校教学工作委员会研究决定。</w:t>
      </w:r>
      <w:r>
        <w:rPr>
          <w:rFonts w:hint="eastAsia" w:ascii="仿宋_GB2312" w:hAnsi="仿宋_GB2312" w:eastAsia="仿宋_GB2312" w:cs="仿宋_GB2312"/>
          <w:color w:val="000000" w:themeColor="text1"/>
          <w:kern w:val="0"/>
          <w:sz w:val="30"/>
          <w:szCs w:val="30"/>
          <w:shd w:val="clear" w:color="auto" w:fill="FFFFFF"/>
          <w:lang w:eastAsia="zh-CN"/>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602" w:firstLineChars="200"/>
        <w:textAlignment w:val="auto"/>
        <w:outlineLvl w:val="9"/>
        <w:rPr>
          <w:rFonts w:hint="eastAsia" w:ascii="仿宋_GB2312" w:hAnsi="仿宋_GB2312" w:eastAsia="仿宋_GB2312" w:cs="仿宋_GB2312"/>
          <w:color w:val="000000" w:themeColor="text1"/>
          <w:kern w:val="0"/>
          <w:sz w:val="30"/>
          <w:szCs w:val="30"/>
          <w:shd w:val="clear" w:color="auto" w:fill="FFFFFF"/>
          <w:lang w:eastAsia="zh-CN"/>
          <w14:textFill>
            <w14:solidFill>
              <w14:schemeClr w14:val="tx1"/>
            </w14:solidFill>
          </w14:textFill>
        </w:rPr>
      </w:pPr>
      <w:r>
        <w:rPr>
          <w:rFonts w:hint="eastAsia" w:ascii="仿宋_GB2312" w:hAnsi="仿宋_GB2312" w:eastAsia="仿宋_GB2312" w:cs="仿宋_GB2312"/>
          <w:b/>
          <w:color w:val="000000" w:themeColor="text1"/>
          <w:kern w:val="0"/>
          <w:sz w:val="30"/>
          <w:szCs w:val="30"/>
          <w:shd w:val="clear" w:color="auto" w:fill="FFFFFF"/>
          <w14:textFill>
            <w14:solidFill>
              <w14:schemeClr w14:val="tx1"/>
            </w14:solidFill>
          </w14:textFill>
        </w:rPr>
        <w:t>第十三条</w:t>
      </w:r>
      <w:r>
        <w:rPr>
          <w:rFonts w:hint="eastAsia" w:ascii="仿宋_GB2312" w:hAnsi="仿宋_GB2312" w:eastAsia="仿宋_GB2312" w:cs="仿宋_GB2312"/>
          <w:b/>
          <w:color w:val="000000" w:themeColor="text1"/>
          <w:kern w:val="0"/>
          <w:sz w:val="30"/>
          <w:szCs w:val="30"/>
          <w:shd w:val="clear" w:color="auto" w:fill="FFFFFF"/>
          <w:lang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学校对校级立项的教学工程项目提供相应的资金支持，支持资金额度在每年立项时由教学工作委员会研究确定并在立项通知文件中予以说明。资金支持标准（额度）需要变更时，经学校教学工作委员会研究,报请校长办</w:t>
      </w:r>
      <w:r>
        <w:rPr>
          <w:rFonts w:hint="eastAsia" w:ascii="仿宋_GB2312" w:hAnsi="仿宋_GB2312" w:eastAsia="仿宋_GB2312" w:cs="仿宋_GB2312"/>
          <w:color w:val="000000" w:themeColor="text1"/>
          <w:kern w:val="0"/>
          <w:sz w:val="30"/>
          <w:szCs w:val="30"/>
          <w:shd w:val="clear" w:color="auto" w:fill="FFFFFF"/>
          <w:lang w:eastAsia="zh-CN"/>
          <w14:textFill>
            <w14:solidFill>
              <w14:schemeClr w14:val="tx1"/>
            </w14:solidFill>
          </w14:textFill>
        </w:rPr>
        <w:t>公</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会决定。</w:t>
      </w:r>
      <w:r>
        <w:rPr>
          <w:rFonts w:hint="eastAsia" w:ascii="仿宋_GB2312" w:hAnsi="仿宋_GB2312" w:eastAsia="仿宋_GB2312" w:cs="仿宋_GB2312"/>
          <w:color w:val="000000" w:themeColor="text1"/>
          <w:kern w:val="0"/>
          <w:sz w:val="30"/>
          <w:szCs w:val="30"/>
          <w:shd w:val="clear" w:color="auto" w:fill="FFFFFF"/>
          <w:lang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660" w:lineRule="exact"/>
        <w:jc w:val="center"/>
        <w:textAlignment w:val="auto"/>
        <w:outlineLvl w:val="9"/>
        <w:rPr>
          <w:rFonts w:hint="eastAsia"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四</w:t>
      </w:r>
      <w:r>
        <w:rPr>
          <w:rFonts w:hint="eastAsia" w:ascii="仿宋_GB2312" w:hAnsi="仿宋_GB2312" w:eastAsia="仿宋_GB2312" w:cs="仿宋_GB2312"/>
          <w:b/>
          <w:color w:val="000000" w:themeColor="text1"/>
          <w:sz w:val="30"/>
          <w:szCs w:val="30"/>
          <w:lang w:eastAsia="zh-CN"/>
          <w14:textFill>
            <w14:solidFill>
              <w14:schemeClr w14:val="tx1"/>
            </w14:solidFill>
          </w14:textFill>
        </w:rPr>
        <w:t>、</w:t>
      </w:r>
      <w:r>
        <w:rPr>
          <w:rFonts w:hint="eastAsia" w:ascii="仿宋_GB2312" w:hAnsi="仿宋_GB2312" w:eastAsia="仿宋_GB2312" w:cs="仿宋_GB2312"/>
          <w:b/>
          <w:color w:val="000000" w:themeColor="text1"/>
          <w:sz w:val="30"/>
          <w:szCs w:val="30"/>
          <w14:textFill>
            <w14:solidFill>
              <w14:schemeClr w14:val="tx1"/>
            </w14:solidFill>
          </w14:textFill>
        </w:rPr>
        <w:t>项目资金管理</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600"/>
        <w:textAlignment w:val="auto"/>
        <w:outlineLvl w:val="9"/>
        <w:rPr>
          <w:rFonts w:hint="eastAsia" w:ascii="仿宋_GB2312" w:hAnsi="仿宋_GB2312" w:eastAsia="仿宋_GB2312" w:cs="仿宋_GB2312"/>
          <w:b/>
          <w:color w:val="000000" w:themeColor="text1"/>
          <w:kern w:val="0"/>
          <w:sz w:val="30"/>
          <w:szCs w:val="30"/>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0"/>
          <w:szCs w:val="30"/>
          <w:shd w:val="clear" w:color="auto" w:fill="FFFFFF"/>
          <w14:textFill>
            <w14:solidFill>
              <w14:schemeClr w14:val="tx1"/>
            </w14:solidFill>
          </w14:textFill>
        </w:rPr>
        <w:t>第十四条</w:t>
      </w:r>
      <w:r>
        <w:rPr>
          <w:rFonts w:hint="eastAsia" w:ascii="仿宋_GB2312" w:hAnsi="仿宋_GB2312" w:eastAsia="仿宋_GB2312" w:cs="仿宋_GB2312"/>
          <w:b/>
          <w:color w:val="000000" w:themeColor="text1"/>
          <w:kern w:val="0"/>
          <w:sz w:val="30"/>
          <w:szCs w:val="30"/>
          <w:shd w:val="clear" w:color="auto" w:fill="FFFFFF"/>
          <w:lang w:eastAsia="zh-CN"/>
          <w14:textFill>
            <w14:solidFill>
              <w14:schemeClr w14:val="tx1"/>
            </w14:solidFill>
          </w14:textFill>
        </w:rPr>
        <w:t xml:space="preserve">  </w:t>
      </w:r>
      <w:r>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t>项目资金的管理和使用必须严格按照国家</w:t>
      </w:r>
      <w:r>
        <w:rPr>
          <w:rFonts w:hint="eastAsia" w:ascii="仿宋_GB2312" w:hAnsi="仿宋_GB2312" w:eastAsia="仿宋_GB2312" w:cs="仿宋_GB2312"/>
          <w:bCs/>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t>学校有关项目资金管理的规章制度执行，项目负责人须自觉接受学校纪检</w:t>
      </w:r>
      <w:r>
        <w:rPr>
          <w:rFonts w:hint="eastAsia" w:ascii="仿宋_GB2312" w:hAnsi="仿宋_GB2312" w:eastAsia="仿宋_GB2312" w:cs="仿宋_GB2312"/>
          <w:bCs/>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t>财务和学校教学工作委员会的监督检查。</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600"/>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kern w:val="0"/>
          <w:sz w:val="30"/>
          <w:szCs w:val="30"/>
          <w:shd w:val="clear" w:color="auto" w:fill="FFFFFF"/>
          <w14:textFill>
            <w14:solidFill>
              <w14:schemeClr w14:val="tx1"/>
            </w14:solidFill>
          </w14:textFill>
        </w:rPr>
        <w:t>第十五条</w:t>
      </w:r>
      <w:r>
        <w:rPr>
          <w:rFonts w:hint="eastAsia" w:ascii="仿宋_GB2312" w:hAnsi="仿宋_GB2312" w:eastAsia="仿宋_GB2312" w:cs="仿宋_GB2312"/>
          <w:b/>
          <w:color w:val="000000" w:themeColor="text1"/>
          <w:kern w:val="0"/>
          <w:sz w:val="30"/>
          <w:szCs w:val="30"/>
          <w:shd w:val="clear" w:color="auto" w:fill="FFFFFF"/>
          <w:lang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省级</w:t>
      </w:r>
      <w:r>
        <w:rPr>
          <w:rFonts w:hint="eastAsia" w:ascii="仿宋_GB2312" w:hAnsi="仿宋_GB2312" w:eastAsia="仿宋_GB2312" w:cs="仿宋_GB2312"/>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国家级教学工程项目要求学校给予项目配套资金的，应填写“教学工程项目配套支持资金申请表”报教学工作委员会予以审批。</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600"/>
        <w:textAlignment w:val="auto"/>
        <w:outlineLvl w:val="9"/>
        <w:rPr>
          <w:rFonts w:hint="eastAsia" w:ascii="仿宋_GB2312" w:hAnsi="仿宋_GB2312" w:eastAsia="仿宋_GB2312" w:cs="仿宋_GB2312"/>
          <w:color w:val="FF0000"/>
          <w:sz w:val="30"/>
          <w:szCs w:val="30"/>
        </w:rPr>
      </w:pPr>
      <w:r>
        <w:rPr>
          <w:rFonts w:hint="eastAsia" w:ascii="仿宋_GB2312" w:hAnsi="仿宋_GB2312" w:eastAsia="仿宋_GB2312" w:cs="仿宋_GB2312"/>
          <w:b/>
          <w:color w:val="000000" w:themeColor="text1"/>
          <w:kern w:val="0"/>
          <w:sz w:val="30"/>
          <w:szCs w:val="30"/>
          <w:shd w:val="clear" w:color="auto" w:fill="FFFFFF"/>
          <w14:textFill>
            <w14:solidFill>
              <w14:schemeClr w14:val="tx1"/>
            </w14:solidFill>
          </w14:textFill>
        </w:rPr>
        <w:t>第十六条</w:t>
      </w:r>
      <w:r>
        <w:rPr>
          <w:rFonts w:hint="eastAsia" w:ascii="仿宋_GB2312" w:hAnsi="仿宋_GB2312" w:eastAsia="仿宋_GB2312" w:cs="仿宋_GB2312"/>
          <w:b/>
          <w:color w:val="000000" w:themeColor="text1"/>
          <w:kern w:val="0"/>
          <w:sz w:val="30"/>
          <w:szCs w:val="30"/>
          <w:shd w:val="clear" w:color="auto" w:fill="FFFFFF"/>
          <w:lang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学校给予的配套资金，应严格控制使用方向及额度。资金在5.0万元以上(含5.0万元)的项目，</w:t>
      </w:r>
      <w:bookmarkStart w:id="3" w:name="OLE_LINK6"/>
      <w:bookmarkStart w:id="4" w:name="OLE_LINK1"/>
      <w:bookmarkStart w:id="5" w:name="OLE_LINK2"/>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用于购置仪器设备或图书资料的费用应不超过</w:t>
      </w:r>
      <w:bookmarkEnd w:id="3"/>
      <w:bookmarkEnd w:id="4"/>
      <w:bookmarkEnd w:id="5"/>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30%；资金在1.0～5.0万元（含1.0万元）的项目，用于购置仪器设备和图书资料的费用应不超过20%。</w:t>
      </w:r>
      <w:r>
        <w:rPr>
          <w:rFonts w:hint="eastAsia" w:ascii="仿宋_GB2312" w:hAnsi="仿宋_GB2312" w:eastAsia="仿宋_GB2312" w:cs="仿宋_GB2312"/>
          <w:color w:val="000000" w:themeColor="text1"/>
          <w:sz w:val="30"/>
          <w:szCs w:val="30"/>
          <w14:textFill>
            <w14:solidFill>
              <w14:schemeClr w14:val="tx1"/>
            </w14:solidFill>
          </w14:textFill>
        </w:rPr>
        <w:t>购置的设备和图书资料均属于学校的固定资产，项目负责人须根据学校固定资产管理办法完善资产相关手续。</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562"/>
        <w:textAlignment w:val="auto"/>
        <w:outlineLvl w:val="9"/>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0"/>
          <w:szCs w:val="30"/>
          <w:shd w:val="clear" w:color="auto" w:fill="FFFFFF"/>
          <w14:textFill>
            <w14:solidFill>
              <w14:schemeClr w14:val="tx1"/>
            </w14:solidFill>
          </w14:textFill>
        </w:rPr>
        <w:t>第十七条</w:t>
      </w:r>
      <w:r>
        <w:rPr>
          <w:rFonts w:hint="eastAsia" w:ascii="仿宋_GB2312" w:hAnsi="仿宋_GB2312" w:eastAsia="仿宋_GB2312" w:cs="仿宋_GB2312"/>
          <w:b/>
          <w:color w:val="000000" w:themeColor="text1"/>
          <w:kern w:val="0"/>
          <w:sz w:val="30"/>
          <w:szCs w:val="30"/>
          <w:shd w:val="clear" w:color="auto" w:fill="FFFFFF"/>
          <w:lang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有财</w:t>
      </w:r>
      <w:r>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t>政资金支持的市厅级以上项目，项目组须先支出财政资金，后支出学校配套资金。</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562"/>
        <w:textAlignment w:val="auto"/>
        <w:outlineLvl w:val="9"/>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0"/>
          <w:szCs w:val="30"/>
          <w:shd w:val="clear" w:color="auto" w:fill="FFFFFF"/>
          <w14:textFill>
            <w14:solidFill>
              <w14:schemeClr w14:val="tx1"/>
            </w14:solidFill>
          </w14:textFill>
        </w:rPr>
        <w:t>第十八条</w:t>
      </w:r>
      <w:r>
        <w:rPr>
          <w:rFonts w:hint="eastAsia" w:ascii="仿宋_GB2312" w:hAnsi="仿宋_GB2312" w:eastAsia="仿宋_GB2312" w:cs="仿宋_GB2312"/>
          <w:bCs/>
          <w:color w:val="000000" w:themeColor="text1"/>
          <w:kern w:val="0"/>
          <w:sz w:val="30"/>
          <w:szCs w:val="30"/>
          <w:shd w:val="clear" w:color="auto" w:fill="FFFFFF"/>
          <w:lang w:eastAsia="zh-CN"/>
          <w14:textFill>
            <w14:solidFill>
              <w14:schemeClr w14:val="tx1"/>
            </w14:solidFill>
          </w14:textFill>
        </w:rPr>
        <w:t xml:space="preserve">  </w:t>
      </w:r>
      <w:r>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t>校级教学工程项目建设资金分年度使用。第一年使用资金额度不超过建设资金的50%；经中期检查合格后，第二年使用剩余的项目建设资金。项目通过结项评审获得结项证书的，项目主持人持有关票据按照财务相关规定办理报销手续。项目建设过程中若出现本办法第十条中所列情况者，学校有权收回建设资金。</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562"/>
        <w:textAlignment w:val="auto"/>
        <w:outlineLvl w:val="9"/>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pPr>
      <w:r>
        <w:rPr>
          <w:rFonts w:hint="eastAsia" w:ascii="仿宋_GB2312" w:hAnsi="仿宋_GB2312" w:eastAsia="仿宋_GB2312" w:cs="仿宋_GB2312"/>
          <w:b/>
          <w:bCs w:val="0"/>
          <w:color w:val="000000" w:themeColor="text1"/>
          <w:kern w:val="0"/>
          <w:sz w:val="30"/>
          <w:szCs w:val="30"/>
          <w:shd w:val="clear" w:color="auto" w:fill="FFFFFF"/>
          <w14:textFill>
            <w14:solidFill>
              <w14:schemeClr w14:val="tx1"/>
            </w14:solidFill>
          </w14:textFill>
        </w:rPr>
        <w:t>第十九条</w:t>
      </w:r>
      <w:r>
        <w:rPr>
          <w:rFonts w:hint="eastAsia" w:ascii="仿宋_GB2312" w:hAnsi="仿宋_GB2312" w:eastAsia="仿宋_GB2312" w:cs="仿宋_GB2312"/>
          <w:b/>
          <w:bCs w:val="0"/>
          <w:color w:val="000000" w:themeColor="text1"/>
          <w:kern w:val="0"/>
          <w:sz w:val="30"/>
          <w:szCs w:val="30"/>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t>为做好项目立项调研</w:t>
      </w:r>
      <w:r>
        <w:rPr>
          <w:rFonts w:hint="eastAsia" w:ascii="仿宋_GB2312" w:hAnsi="仿宋_GB2312" w:eastAsia="仿宋_GB2312" w:cs="仿宋_GB2312"/>
          <w:bCs/>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t>咨询指导</w:t>
      </w:r>
      <w:r>
        <w:rPr>
          <w:rFonts w:hint="eastAsia" w:ascii="仿宋_GB2312" w:hAnsi="仿宋_GB2312" w:eastAsia="仿宋_GB2312" w:cs="仿宋_GB2312"/>
          <w:bCs/>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t>项目评审</w:t>
      </w:r>
      <w:r>
        <w:rPr>
          <w:rFonts w:hint="eastAsia" w:ascii="仿宋_GB2312" w:hAnsi="仿宋_GB2312" w:eastAsia="仿宋_GB2312" w:cs="仿宋_GB2312"/>
          <w:bCs/>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t>管理服务等各项工作，每个项目应按一定比例（不超过项目资金的10%）一次性提取项目管理资金，由学校财务处单独立户</w:t>
      </w:r>
      <w:r>
        <w:rPr>
          <w:rFonts w:hint="eastAsia" w:ascii="仿宋_GB2312" w:hAnsi="仿宋_GB2312" w:eastAsia="仿宋_GB2312" w:cs="仿宋_GB2312"/>
          <w:bCs/>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t>统一管理。该项资金主要用于项目管理者（学校教学工作委员会）在项目建设过程中必须支出的各项费用，以及申报省级以上教学工程项目所开展的专家咨询</w:t>
      </w:r>
      <w:r>
        <w:rPr>
          <w:rFonts w:hint="eastAsia" w:ascii="仿宋_GB2312" w:hAnsi="仿宋_GB2312" w:eastAsia="仿宋_GB2312" w:cs="仿宋_GB2312"/>
          <w:bCs/>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t>指导</w:t>
      </w:r>
      <w:r>
        <w:rPr>
          <w:rFonts w:hint="eastAsia" w:ascii="仿宋_GB2312" w:hAnsi="仿宋_GB2312" w:eastAsia="仿宋_GB2312" w:cs="仿宋_GB2312"/>
          <w:bCs/>
          <w:color w:val="000000" w:themeColor="text1"/>
          <w:kern w:val="0"/>
          <w:sz w:val="30"/>
          <w:szCs w:val="30"/>
          <w:shd w:val="clear" w:color="auto" w:fill="FFFFFF"/>
          <w:lang w:eastAsia="zh-CN"/>
          <w14:textFill>
            <w14:solidFill>
              <w14:schemeClr w14:val="tx1"/>
            </w14:solidFill>
          </w14:textFill>
        </w:rPr>
        <w:t>、</w:t>
      </w:r>
      <w:r>
        <w:rPr>
          <w:rFonts w:hint="eastAsia" w:ascii="仿宋_GB2312" w:hAnsi="仿宋_GB2312" w:eastAsia="仿宋_GB2312" w:cs="仿宋_GB2312"/>
          <w:bCs/>
          <w:color w:val="000000" w:themeColor="text1"/>
          <w:kern w:val="0"/>
          <w:sz w:val="30"/>
          <w:szCs w:val="30"/>
          <w:shd w:val="clear" w:color="auto" w:fill="FFFFFF"/>
          <w14:textFill>
            <w14:solidFill>
              <w14:schemeClr w14:val="tx1"/>
            </w14:solidFill>
          </w14:textFill>
        </w:rPr>
        <w:t>评审等费用。</w:t>
      </w:r>
    </w:p>
    <w:p>
      <w:pPr>
        <w:keepNext w:val="0"/>
        <w:keepLines w:val="0"/>
        <w:pageBreakBefore w:val="0"/>
        <w:kinsoku/>
        <w:wordWrap/>
        <w:overflowPunct/>
        <w:topLinePunct w:val="0"/>
        <w:autoSpaceDE/>
        <w:autoSpaceDN/>
        <w:bidi w:val="0"/>
        <w:adjustRightInd/>
        <w:snapToGrid/>
        <w:spacing w:line="660" w:lineRule="exact"/>
        <w:jc w:val="center"/>
        <w:textAlignment w:val="auto"/>
        <w:outlineLvl w:val="9"/>
        <w:rPr>
          <w:rFonts w:hint="eastAsia"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五</w:t>
      </w:r>
      <w:r>
        <w:rPr>
          <w:rFonts w:hint="eastAsia" w:ascii="仿宋_GB2312" w:hAnsi="仿宋_GB2312" w:eastAsia="仿宋_GB2312" w:cs="仿宋_GB2312"/>
          <w:b/>
          <w:color w:val="000000" w:themeColor="text1"/>
          <w:sz w:val="30"/>
          <w:szCs w:val="30"/>
          <w:lang w:eastAsia="zh-CN"/>
          <w14:textFill>
            <w14:solidFill>
              <w14:schemeClr w14:val="tx1"/>
            </w14:solidFill>
          </w14:textFill>
        </w:rPr>
        <w:t>、</w:t>
      </w:r>
      <w:bookmarkStart w:id="6" w:name="_GoBack"/>
      <w:bookmarkEnd w:id="6"/>
      <w:r>
        <w:rPr>
          <w:rFonts w:hint="eastAsia" w:ascii="仿宋_GB2312" w:hAnsi="仿宋_GB2312" w:eastAsia="仿宋_GB2312" w:cs="仿宋_GB2312"/>
          <w:b/>
          <w:color w:val="000000" w:themeColor="text1"/>
          <w:sz w:val="30"/>
          <w:szCs w:val="30"/>
          <w14:textFill>
            <w14:solidFill>
              <w14:schemeClr w14:val="tx1"/>
            </w14:solidFill>
          </w14:textFill>
        </w:rPr>
        <w:t>附则</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562"/>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kern w:val="0"/>
          <w:sz w:val="30"/>
          <w:szCs w:val="30"/>
          <w:shd w:val="clear" w:color="auto" w:fill="FFFFFF"/>
          <w14:textFill>
            <w14:solidFill>
              <w14:schemeClr w14:val="tx1"/>
            </w14:solidFill>
          </w14:textFill>
        </w:rPr>
        <w:t>第</w:t>
      </w:r>
      <w:r>
        <w:rPr>
          <w:rFonts w:hint="eastAsia" w:ascii="仿宋_GB2312" w:hAnsi="仿宋_GB2312" w:eastAsia="仿宋_GB2312" w:cs="仿宋_GB2312"/>
          <w:b/>
          <w:color w:val="000000" w:themeColor="text1"/>
          <w:kern w:val="0"/>
          <w:sz w:val="30"/>
          <w:szCs w:val="30"/>
          <w14:textFill>
            <w14:solidFill>
              <w14:schemeClr w14:val="tx1"/>
            </w14:solidFill>
          </w14:textFill>
        </w:rPr>
        <w:t>二十</w:t>
      </w:r>
      <w:r>
        <w:rPr>
          <w:rFonts w:hint="eastAsia" w:ascii="仿宋_GB2312" w:hAnsi="仿宋_GB2312" w:eastAsia="仿宋_GB2312" w:cs="仿宋_GB2312"/>
          <w:b/>
          <w:color w:val="000000" w:themeColor="text1"/>
          <w:kern w:val="0"/>
          <w:sz w:val="30"/>
          <w:szCs w:val="30"/>
          <w:shd w:val="clear" w:color="auto" w:fill="FFFFFF"/>
          <w14:textFill>
            <w14:solidFill>
              <w14:schemeClr w14:val="tx1"/>
            </w14:solidFill>
          </w14:textFill>
        </w:rPr>
        <w:t>条</w:t>
      </w:r>
      <w:r>
        <w:rPr>
          <w:rFonts w:hint="eastAsia" w:ascii="仿宋_GB2312" w:hAnsi="仿宋_GB2312" w:eastAsia="仿宋_GB2312" w:cs="仿宋_GB2312"/>
          <w:b/>
          <w:color w:val="000000" w:themeColor="text1"/>
          <w:kern w:val="0"/>
          <w:sz w:val="30"/>
          <w:szCs w:val="30"/>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shd w:val="clear" w:color="auto" w:fill="FFFFFF"/>
          <w14:textFill>
            <w14:solidFill>
              <w14:schemeClr w14:val="tx1"/>
            </w14:solidFill>
          </w14:textFill>
        </w:rPr>
        <w:t>本办法自发布之日其施行，其条款由学校教学工作委员会负责解释。</w:t>
      </w:r>
    </w:p>
    <w:p>
      <w:pPr>
        <w:keepNext w:val="0"/>
        <w:keepLines w:val="0"/>
        <w:pageBreakBefore w:val="0"/>
        <w:widowControl/>
        <w:kinsoku/>
        <w:wordWrap/>
        <w:overflowPunct/>
        <w:topLinePunct w:val="0"/>
        <w:autoSpaceDE/>
        <w:autoSpaceDN/>
        <w:bidi w:val="0"/>
        <w:adjustRightInd/>
        <w:snapToGrid/>
        <w:spacing w:line="660" w:lineRule="exact"/>
        <w:ind w:firstLine="562"/>
        <w:textAlignment w:val="auto"/>
        <w:outlineLvl w:val="9"/>
        <w:rPr>
          <w:rFonts w:hint="eastAsia" w:ascii="仿宋_GB2312" w:hAns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hAnsi="仿宋_GB2312" w:eastAsia="仿宋_GB2312" w:cs="仿宋_GB2312"/>
          <w:b/>
          <w:color w:val="000000" w:themeColor="text1"/>
          <w:kern w:val="0"/>
          <w:sz w:val="30"/>
          <w:szCs w:val="30"/>
          <w14:textFill>
            <w14:solidFill>
              <w14:schemeClr w14:val="tx1"/>
            </w14:solidFill>
          </w14:textFill>
        </w:rPr>
        <w:t>第二十</w:t>
      </w:r>
      <w:r>
        <w:rPr>
          <w:rFonts w:hint="eastAsia" w:ascii="仿宋_GB2312" w:hAnsi="仿宋_GB2312" w:eastAsia="仿宋_GB2312" w:cs="仿宋_GB2312"/>
          <w:b/>
          <w:color w:val="000000" w:themeColor="text1"/>
          <w:kern w:val="0"/>
          <w:sz w:val="30"/>
          <w:szCs w:val="30"/>
          <w:lang w:eastAsia="zh-CN"/>
          <w14:textFill>
            <w14:solidFill>
              <w14:schemeClr w14:val="tx1"/>
            </w14:solidFill>
          </w14:textFill>
        </w:rPr>
        <w:t>一</w:t>
      </w:r>
      <w:r>
        <w:rPr>
          <w:rFonts w:hint="eastAsia" w:ascii="仿宋_GB2312" w:hAnsi="仿宋_GB2312" w:eastAsia="仿宋_GB2312" w:cs="仿宋_GB2312"/>
          <w:b/>
          <w:color w:val="000000" w:themeColor="text1"/>
          <w:kern w:val="0"/>
          <w:sz w:val="30"/>
          <w:szCs w:val="30"/>
          <w14:textFill>
            <w14:solidFill>
              <w14:schemeClr w14:val="tx1"/>
            </w14:solidFill>
          </w14:textFill>
        </w:rPr>
        <w:t>条</w:t>
      </w:r>
      <w:r>
        <w:rPr>
          <w:rFonts w:hint="eastAsia" w:ascii="仿宋_GB2312" w:hAnsi="仿宋_GB2312" w:eastAsia="仿宋_GB2312" w:cs="仿宋_GB2312"/>
          <w:b/>
          <w:color w:val="000000" w:themeColor="text1"/>
          <w:kern w:val="0"/>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有关未尽事宜及由于条件变化需修改条款的事宜，由学校教学工作委员会研究确定并另行发布附则。</w:t>
      </w:r>
      <w:r>
        <w:rPr>
          <w:rFonts w:hint="eastAsia" w:ascii="仿宋_GB2312" w:hAnsi="仿宋_GB2312" w:eastAsia="仿宋_GB2312" w:cs="仿宋_GB2312"/>
          <w:color w:val="000000" w:themeColor="text1"/>
          <w:kern w:val="0"/>
          <w:sz w:val="28"/>
          <w:szCs w:val="28"/>
          <w:shd w:val="clear" w:color="auto" w:fill="FFFFFF"/>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660" w:lineRule="exact"/>
        <w:ind w:firstLine="562"/>
        <w:textAlignment w:val="auto"/>
        <w:outlineLvl w:val="9"/>
        <w:rPr>
          <w:rFonts w:hint="eastAsia" w:ascii="仿宋_GB2312" w:hAns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28"/>
          <w:szCs w:val="28"/>
          <w:shd w:val="clear" w:color="auto" w:fill="FFFFFF"/>
          <w14:textFill>
            <w14:solidFill>
              <w14:schemeClr w14:val="tx1"/>
            </w14:solidFill>
          </w14:textFill>
        </w:rPr>
        <w:br w:type="page"/>
      </w:r>
    </w:p>
    <w:tbl>
      <w:tblPr>
        <w:tblStyle w:val="5"/>
        <w:tblpPr w:leftFromText="180" w:rightFromText="180" w:vertAnchor="text" w:horzAnchor="page" w:tblpX="1796" w:tblpY="13042"/>
        <w:tblOverlap w:val="never"/>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505" w:type="dxa"/>
            <w:tcBorders>
              <w:left w:val="nil"/>
              <w:right w:val="nil"/>
            </w:tcBorders>
            <w:vAlign w:val="top"/>
          </w:tcPr>
          <w:p>
            <w:pPr>
              <w:rPr>
                <w:rFonts w:hAnsi="宋体"/>
                <w:color w:val="auto"/>
                <w:sz w:val="28"/>
                <w:szCs w:val="28"/>
              </w:rPr>
            </w:pPr>
            <w:r>
              <w:rPr>
                <w:rFonts w:hint="eastAsia" w:ascii="仿宋_GB2312" w:hAnsi="宋体" w:eastAsia="仿宋_GB2312" w:cs="仿宋_GB2312"/>
                <w:color w:val="auto"/>
                <w:sz w:val="28"/>
                <w:szCs w:val="28"/>
              </w:rPr>
              <w:t>河南应用技术职业学院办公室</w:t>
            </w:r>
            <w:r>
              <w:rPr>
                <w:rFonts w:hint="eastAsia" w:ascii="仿宋_GB2312" w:hAnsi="宋体" w:eastAsia="仿宋_GB2312" w:cs="仿宋_GB2312"/>
                <w:color w:val="auto"/>
                <w:sz w:val="28"/>
                <w:szCs w:val="28"/>
                <w:lang w:val="en-US" w:eastAsia="zh-CN"/>
              </w:rPr>
              <w:t xml:space="preserve">            </w:t>
            </w:r>
            <w:r>
              <w:rPr>
                <w:rFonts w:ascii="仿宋_GB2312" w:hAnsi="宋体" w:eastAsia="仿宋_GB2312" w:cs="仿宋_GB2312"/>
                <w:color w:val="auto"/>
                <w:sz w:val="28"/>
                <w:szCs w:val="28"/>
              </w:rPr>
              <w:t>201</w:t>
            </w:r>
            <w:r>
              <w:rPr>
                <w:rFonts w:hint="eastAsia" w:ascii="仿宋_GB2312" w:hAnsi="宋体" w:eastAsia="仿宋_GB2312" w:cs="仿宋_GB2312"/>
                <w:color w:val="auto"/>
                <w:sz w:val="28"/>
                <w:szCs w:val="28"/>
                <w:lang w:val="en-US" w:eastAsia="zh-CN"/>
              </w:rPr>
              <w:t>8</w:t>
            </w:r>
            <w:r>
              <w:rPr>
                <w:rFonts w:hint="eastAsia" w:ascii="仿宋_GB2312" w:hAnsi="宋体" w:eastAsia="仿宋_GB2312" w:cs="仿宋_GB2312"/>
                <w:color w:val="auto"/>
                <w:sz w:val="28"/>
                <w:szCs w:val="28"/>
              </w:rPr>
              <w:t>年</w:t>
            </w:r>
            <w:r>
              <w:rPr>
                <w:rFonts w:hint="eastAsia" w:ascii="仿宋_GB2312" w:hAnsi="宋体" w:eastAsia="仿宋_GB2312" w:cs="仿宋_GB2312"/>
                <w:color w:val="auto"/>
                <w:sz w:val="28"/>
                <w:szCs w:val="28"/>
                <w:lang w:val="en-US" w:eastAsia="zh-CN"/>
              </w:rPr>
              <w:t>5</w:t>
            </w:r>
            <w:r>
              <w:rPr>
                <w:rFonts w:hint="eastAsia" w:ascii="仿宋_GB2312" w:hAnsi="宋体" w:eastAsia="仿宋_GB2312" w:cs="仿宋_GB2312"/>
                <w:color w:val="auto"/>
                <w:sz w:val="28"/>
                <w:szCs w:val="28"/>
              </w:rPr>
              <w:t>月</w:t>
            </w:r>
            <w:r>
              <w:rPr>
                <w:rFonts w:hint="eastAsia" w:ascii="仿宋_GB2312" w:hAnsi="宋体" w:eastAsia="仿宋_GB2312" w:cs="仿宋_GB2312"/>
                <w:color w:val="auto"/>
                <w:sz w:val="28"/>
                <w:szCs w:val="28"/>
                <w:lang w:val="en-US" w:eastAsia="zh-CN"/>
              </w:rPr>
              <w:t>16</w:t>
            </w:r>
            <w:r>
              <w:rPr>
                <w:rFonts w:hint="eastAsia" w:ascii="仿宋_GB2312" w:hAnsi="宋体" w:eastAsia="仿宋_GB2312" w:cs="仿宋_GB2312"/>
                <w:color w:val="auto"/>
                <w:sz w:val="28"/>
                <w:szCs w:val="28"/>
              </w:rPr>
              <w:t>日印发</w:t>
            </w:r>
          </w:p>
        </w:tc>
      </w:tr>
    </w:tbl>
    <w:p>
      <w:pPr>
        <w:keepNext w:val="0"/>
        <w:keepLines w:val="0"/>
        <w:pageBreakBefore w:val="0"/>
        <w:widowControl/>
        <w:kinsoku/>
        <w:wordWrap/>
        <w:overflowPunct/>
        <w:topLinePunct w:val="0"/>
        <w:autoSpaceDE/>
        <w:autoSpaceDN/>
        <w:bidi w:val="0"/>
        <w:adjustRightInd/>
        <w:snapToGrid/>
        <w:spacing w:line="660" w:lineRule="exact"/>
        <w:ind w:firstLine="562"/>
        <w:textAlignment w:val="auto"/>
        <w:outlineLvl w:val="9"/>
        <w:rPr>
          <w:rFonts w:hint="eastAsia" w:ascii="仿宋_GB2312" w:hAnsi="仿宋_GB2312" w:eastAsia="仿宋_GB2312" w:cs="仿宋_GB2312"/>
          <w:color w:val="000000" w:themeColor="text1"/>
          <w:kern w:val="0"/>
          <w:sz w:val="28"/>
          <w:szCs w:val="28"/>
          <w:shd w:val="clear" w:color="auto" w:fill="FFFFFF"/>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02235" cy="26352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02235" cy="263525"/>
                      </a:xfrm>
                      <a:prstGeom prst="rect">
                        <a:avLst/>
                      </a:prstGeom>
                      <a:noFill/>
                      <a:ln>
                        <a:noFill/>
                      </a:ln>
                    </wps:spPr>
                    <wps:txbx>
                      <w:txbxContent>
                        <w:p>
                          <w:pPr>
                            <w:snapToGrid w:val="0"/>
                            <w:rPr>
                              <w:sz w:val="18"/>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20.75pt;width:8.05pt;mso-position-horizontal:outside;mso-position-horizontal-relative:margin;mso-wrap-style:none;z-index:251658240;mso-width-relative:page;mso-height-relative:page;" filled="f" stroked="f" coordsize="21600,21600" o:gfxdata="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Q7g6bRAAAAAwEAAA8AAAAAAAAA&#10;AQAgAAAAIgAAAGRycy9kb3ducmV2LnhtbFBLAQIUABQAAAAIAIdO4kBhidfK3wEAALYDAAAOAAAA&#10;AAAAAAEAIAAAACABAABkcnMvZTJvRG9jLnhtbFBLBQYAAAAABgAGAFkBAABxBQAAAAA=&#10;">
              <v:fill on="f" focussize="0,0"/>
              <v:stroke on="f"/>
              <v:imagedata o:title=""/>
              <o:lock v:ext="edit" aspectratio="f"/>
              <v:textbox inset="0mm,0mm,0mm,0mm" style="mso-fit-shape-to-text:t;">
                <w:txbxContent>
                  <w:p>
                    <w:pPr>
                      <w:snapToGrid w:val="0"/>
                      <w:rPr>
                        <w:sz w:val="18"/>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91A3B"/>
    <w:rsid w:val="00032926"/>
    <w:rsid w:val="00032F8F"/>
    <w:rsid w:val="00033372"/>
    <w:rsid w:val="000358B9"/>
    <w:rsid w:val="00040182"/>
    <w:rsid w:val="0005259C"/>
    <w:rsid w:val="00054693"/>
    <w:rsid w:val="000551FD"/>
    <w:rsid w:val="000555A6"/>
    <w:rsid w:val="00061AED"/>
    <w:rsid w:val="000632B0"/>
    <w:rsid w:val="00064669"/>
    <w:rsid w:val="000659E1"/>
    <w:rsid w:val="000666DE"/>
    <w:rsid w:val="00076AE4"/>
    <w:rsid w:val="0008239F"/>
    <w:rsid w:val="00082DD2"/>
    <w:rsid w:val="000842EF"/>
    <w:rsid w:val="00093147"/>
    <w:rsid w:val="00093664"/>
    <w:rsid w:val="00093946"/>
    <w:rsid w:val="000A0782"/>
    <w:rsid w:val="000A0A96"/>
    <w:rsid w:val="000C11BB"/>
    <w:rsid w:val="000C702E"/>
    <w:rsid w:val="000D104E"/>
    <w:rsid w:val="000D6245"/>
    <w:rsid w:val="000E1AAC"/>
    <w:rsid w:val="000E21E1"/>
    <w:rsid w:val="000F4FB6"/>
    <w:rsid w:val="0010171C"/>
    <w:rsid w:val="00114FA7"/>
    <w:rsid w:val="001167D9"/>
    <w:rsid w:val="00120F0E"/>
    <w:rsid w:val="00122167"/>
    <w:rsid w:val="00124CDB"/>
    <w:rsid w:val="001279BD"/>
    <w:rsid w:val="0015165A"/>
    <w:rsid w:val="00153A89"/>
    <w:rsid w:val="00156BD9"/>
    <w:rsid w:val="00162F02"/>
    <w:rsid w:val="00163753"/>
    <w:rsid w:val="00181DDB"/>
    <w:rsid w:val="0018236D"/>
    <w:rsid w:val="00182FC9"/>
    <w:rsid w:val="0018404F"/>
    <w:rsid w:val="001926B2"/>
    <w:rsid w:val="001945C9"/>
    <w:rsid w:val="0019699F"/>
    <w:rsid w:val="001A0744"/>
    <w:rsid w:val="001A7262"/>
    <w:rsid w:val="001B0005"/>
    <w:rsid w:val="001B53ED"/>
    <w:rsid w:val="001C44B8"/>
    <w:rsid w:val="001D1A60"/>
    <w:rsid w:val="001D6250"/>
    <w:rsid w:val="001E7722"/>
    <w:rsid w:val="001E77FD"/>
    <w:rsid w:val="00206094"/>
    <w:rsid w:val="00210761"/>
    <w:rsid w:val="002129D8"/>
    <w:rsid w:val="002256ED"/>
    <w:rsid w:val="0022711D"/>
    <w:rsid w:val="00230BE1"/>
    <w:rsid w:val="00246A31"/>
    <w:rsid w:val="00266671"/>
    <w:rsid w:val="00271096"/>
    <w:rsid w:val="00272B70"/>
    <w:rsid w:val="00294900"/>
    <w:rsid w:val="00295BDA"/>
    <w:rsid w:val="002A21A6"/>
    <w:rsid w:val="002A4D09"/>
    <w:rsid w:val="002B2B46"/>
    <w:rsid w:val="002C664D"/>
    <w:rsid w:val="002D39EE"/>
    <w:rsid w:val="002D5280"/>
    <w:rsid w:val="002F0A38"/>
    <w:rsid w:val="002F3C18"/>
    <w:rsid w:val="002F4AEA"/>
    <w:rsid w:val="00305591"/>
    <w:rsid w:val="003079AF"/>
    <w:rsid w:val="003132FB"/>
    <w:rsid w:val="003213D1"/>
    <w:rsid w:val="0032461A"/>
    <w:rsid w:val="00324731"/>
    <w:rsid w:val="00326D59"/>
    <w:rsid w:val="00336F8C"/>
    <w:rsid w:val="00340DEB"/>
    <w:rsid w:val="003465C2"/>
    <w:rsid w:val="003555AE"/>
    <w:rsid w:val="00362F55"/>
    <w:rsid w:val="003637AA"/>
    <w:rsid w:val="00373449"/>
    <w:rsid w:val="0037564D"/>
    <w:rsid w:val="003806E7"/>
    <w:rsid w:val="00381046"/>
    <w:rsid w:val="00385F3F"/>
    <w:rsid w:val="00394453"/>
    <w:rsid w:val="003953E3"/>
    <w:rsid w:val="003A20CE"/>
    <w:rsid w:val="003A6768"/>
    <w:rsid w:val="003B0E5E"/>
    <w:rsid w:val="003B1657"/>
    <w:rsid w:val="003B2E34"/>
    <w:rsid w:val="003C1003"/>
    <w:rsid w:val="003C7010"/>
    <w:rsid w:val="003E21B6"/>
    <w:rsid w:val="003F280C"/>
    <w:rsid w:val="003F53F9"/>
    <w:rsid w:val="003F7E98"/>
    <w:rsid w:val="00401F2F"/>
    <w:rsid w:val="00411FBB"/>
    <w:rsid w:val="0041254C"/>
    <w:rsid w:val="00420747"/>
    <w:rsid w:val="00426B77"/>
    <w:rsid w:val="00433461"/>
    <w:rsid w:val="00440CB5"/>
    <w:rsid w:val="00450EF0"/>
    <w:rsid w:val="00455289"/>
    <w:rsid w:val="00463103"/>
    <w:rsid w:val="00481443"/>
    <w:rsid w:val="004876B2"/>
    <w:rsid w:val="004A2C73"/>
    <w:rsid w:val="004A4EF5"/>
    <w:rsid w:val="004A6767"/>
    <w:rsid w:val="004C0C91"/>
    <w:rsid w:val="004C1663"/>
    <w:rsid w:val="004C7887"/>
    <w:rsid w:val="004D62B6"/>
    <w:rsid w:val="004D7616"/>
    <w:rsid w:val="004D7F14"/>
    <w:rsid w:val="004E2F8D"/>
    <w:rsid w:val="004F0982"/>
    <w:rsid w:val="00501BB8"/>
    <w:rsid w:val="0051432F"/>
    <w:rsid w:val="00514A8B"/>
    <w:rsid w:val="00523B80"/>
    <w:rsid w:val="00524157"/>
    <w:rsid w:val="005251FA"/>
    <w:rsid w:val="00532237"/>
    <w:rsid w:val="0053494A"/>
    <w:rsid w:val="00534D23"/>
    <w:rsid w:val="00540354"/>
    <w:rsid w:val="00542B0E"/>
    <w:rsid w:val="005430C8"/>
    <w:rsid w:val="0054624F"/>
    <w:rsid w:val="005472EB"/>
    <w:rsid w:val="0055495B"/>
    <w:rsid w:val="00562401"/>
    <w:rsid w:val="005676FA"/>
    <w:rsid w:val="005823C0"/>
    <w:rsid w:val="005836EE"/>
    <w:rsid w:val="005934B7"/>
    <w:rsid w:val="00594642"/>
    <w:rsid w:val="00594779"/>
    <w:rsid w:val="005E0053"/>
    <w:rsid w:val="005F2CCE"/>
    <w:rsid w:val="00605142"/>
    <w:rsid w:val="00605A26"/>
    <w:rsid w:val="006145E2"/>
    <w:rsid w:val="00615EBC"/>
    <w:rsid w:val="006208B5"/>
    <w:rsid w:val="00627C13"/>
    <w:rsid w:val="00636E92"/>
    <w:rsid w:val="00644902"/>
    <w:rsid w:val="00651E4C"/>
    <w:rsid w:val="006568B0"/>
    <w:rsid w:val="00657D0A"/>
    <w:rsid w:val="006660F6"/>
    <w:rsid w:val="00670368"/>
    <w:rsid w:val="00670EE7"/>
    <w:rsid w:val="0067159E"/>
    <w:rsid w:val="00671CAF"/>
    <w:rsid w:val="0068325B"/>
    <w:rsid w:val="006879A0"/>
    <w:rsid w:val="0069314A"/>
    <w:rsid w:val="00696FDC"/>
    <w:rsid w:val="006A1125"/>
    <w:rsid w:val="006A4822"/>
    <w:rsid w:val="006A5061"/>
    <w:rsid w:val="006A52AF"/>
    <w:rsid w:val="006B1AB7"/>
    <w:rsid w:val="006B5DF7"/>
    <w:rsid w:val="006B66DA"/>
    <w:rsid w:val="006C626B"/>
    <w:rsid w:val="006C6C87"/>
    <w:rsid w:val="006D725D"/>
    <w:rsid w:val="006F61A5"/>
    <w:rsid w:val="006F6F6E"/>
    <w:rsid w:val="006F71E3"/>
    <w:rsid w:val="00706DB7"/>
    <w:rsid w:val="00723501"/>
    <w:rsid w:val="00731D5E"/>
    <w:rsid w:val="00740385"/>
    <w:rsid w:val="007437C5"/>
    <w:rsid w:val="00761E8E"/>
    <w:rsid w:val="0076237B"/>
    <w:rsid w:val="00762456"/>
    <w:rsid w:val="00771E4C"/>
    <w:rsid w:val="007807E8"/>
    <w:rsid w:val="00780839"/>
    <w:rsid w:val="007831FC"/>
    <w:rsid w:val="00790722"/>
    <w:rsid w:val="00792A05"/>
    <w:rsid w:val="007969DC"/>
    <w:rsid w:val="007C0A25"/>
    <w:rsid w:val="007C2011"/>
    <w:rsid w:val="007D6DE2"/>
    <w:rsid w:val="007D70CB"/>
    <w:rsid w:val="007E075D"/>
    <w:rsid w:val="007E15DB"/>
    <w:rsid w:val="007F23D2"/>
    <w:rsid w:val="007F341D"/>
    <w:rsid w:val="007F3C3A"/>
    <w:rsid w:val="007F69F2"/>
    <w:rsid w:val="007F7535"/>
    <w:rsid w:val="00806C5B"/>
    <w:rsid w:val="00822AAD"/>
    <w:rsid w:val="00824E7D"/>
    <w:rsid w:val="00830F18"/>
    <w:rsid w:val="00835CF7"/>
    <w:rsid w:val="00841659"/>
    <w:rsid w:val="00842589"/>
    <w:rsid w:val="00846CD2"/>
    <w:rsid w:val="008556F2"/>
    <w:rsid w:val="0086182D"/>
    <w:rsid w:val="008645F5"/>
    <w:rsid w:val="0087097E"/>
    <w:rsid w:val="00877D1C"/>
    <w:rsid w:val="00883EE8"/>
    <w:rsid w:val="00884C88"/>
    <w:rsid w:val="008B042D"/>
    <w:rsid w:val="008B2E1F"/>
    <w:rsid w:val="008B3350"/>
    <w:rsid w:val="008B5DA8"/>
    <w:rsid w:val="008C5F10"/>
    <w:rsid w:val="008C664F"/>
    <w:rsid w:val="008E1B84"/>
    <w:rsid w:val="008E6EEB"/>
    <w:rsid w:val="008E7C69"/>
    <w:rsid w:val="008F5626"/>
    <w:rsid w:val="00902BAF"/>
    <w:rsid w:val="009143C8"/>
    <w:rsid w:val="00925AAD"/>
    <w:rsid w:val="00925E97"/>
    <w:rsid w:val="00926ACA"/>
    <w:rsid w:val="00937A78"/>
    <w:rsid w:val="00940647"/>
    <w:rsid w:val="00942C4E"/>
    <w:rsid w:val="00952B63"/>
    <w:rsid w:val="0096562E"/>
    <w:rsid w:val="00973E5B"/>
    <w:rsid w:val="0097458B"/>
    <w:rsid w:val="009820B1"/>
    <w:rsid w:val="00983830"/>
    <w:rsid w:val="00991CEF"/>
    <w:rsid w:val="009974BE"/>
    <w:rsid w:val="009A22F7"/>
    <w:rsid w:val="009A2B85"/>
    <w:rsid w:val="009B50CE"/>
    <w:rsid w:val="009C0992"/>
    <w:rsid w:val="009C7CB2"/>
    <w:rsid w:val="009D0483"/>
    <w:rsid w:val="009D0E50"/>
    <w:rsid w:val="009D71BB"/>
    <w:rsid w:val="009D7B6E"/>
    <w:rsid w:val="009F21E9"/>
    <w:rsid w:val="00A030F2"/>
    <w:rsid w:val="00A051B5"/>
    <w:rsid w:val="00A07726"/>
    <w:rsid w:val="00A16D21"/>
    <w:rsid w:val="00A20FF0"/>
    <w:rsid w:val="00A27871"/>
    <w:rsid w:val="00A30B94"/>
    <w:rsid w:val="00A439D4"/>
    <w:rsid w:val="00A52970"/>
    <w:rsid w:val="00A56561"/>
    <w:rsid w:val="00A73037"/>
    <w:rsid w:val="00A75B58"/>
    <w:rsid w:val="00A800C0"/>
    <w:rsid w:val="00A81308"/>
    <w:rsid w:val="00A85B3F"/>
    <w:rsid w:val="00A86DDC"/>
    <w:rsid w:val="00AA7E08"/>
    <w:rsid w:val="00AB0A33"/>
    <w:rsid w:val="00AB501B"/>
    <w:rsid w:val="00AC1B66"/>
    <w:rsid w:val="00AC5B27"/>
    <w:rsid w:val="00AC7CA0"/>
    <w:rsid w:val="00AD1323"/>
    <w:rsid w:val="00AD3F9C"/>
    <w:rsid w:val="00AF05BF"/>
    <w:rsid w:val="00B001E8"/>
    <w:rsid w:val="00B029D4"/>
    <w:rsid w:val="00B1033B"/>
    <w:rsid w:val="00B12A6E"/>
    <w:rsid w:val="00B1397C"/>
    <w:rsid w:val="00B20CAA"/>
    <w:rsid w:val="00B22EF9"/>
    <w:rsid w:val="00B2352D"/>
    <w:rsid w:val="00B53157"/>
    <w:rsid w:val="00B57334"/>
    <w:rsid w:val="00B61753"/>
    <w:rsid w:val="00B73C84"/>
    <w:rsid w:val="00B74B87"/>
    <w:rsid w:val="00B75FB0"/>
    <w:rsid w:val="00B80401"/>
    <w:rsid w:val="00B915E4"/>
    <w:rsid w:val="00BA239C"/>
    <w:rsid w:val="00BA2D4C"/>
    <w:rsid w:val="00BA630C"/>
    <w:rsid w:val="00BA6553"/>
    <w:rsid w:val="00BB0D87"/>
    <w:rsid w:val="00BB45ED"/>
    <w:rsid w:val="00BB5174"/>
    <w:rsid w:val="00BB6C37"/>
    <w:rsid w:val="00BC354D"/>
    <w:rsid w:val="00BE4FE0"/>
    <w:rsid w:val="00BE6F33"/>
    <w:rsid w:val="00BE76BE"/>
    <w:rsid w:val="00BF0276"/>
    <w:rsid w:val="00BF0FB5"/>
    <w:rsid w:val="00BF2288"/>
    <w:rsid w:val="00BF5567"/>
    <w:rsid w:val="00BF709A"/>
    <w:rsid w:val="00C07F4E"/>
    <w:rsid w:val="00C14B12"/>
    <w:rsid w:val="00C1552A"/>
    <w:rsid w:val="00C22E32"/>
    <w:rsid w:val="00C41A27"/>
    <w:rsid w:val="00C44B8A"/>
    <w:rsid w:val="00C54703"/>
    <w:rsid w:val="00C55310"/>
    <w:rsid w:val="00C673E4"/>
    <w:rsid w:val="00C81F7E"/>
    <w:rsid w:val="00C83C72"/>
    <w:rsid w:val="00C84BC3"/>
    <w:rsid w:val="00C87BF4"/>
    <w:rsid w:val="00C912EA"/>
    <w:rsid w:val="00C95EE5"/>
    <w:rsid w:val="00C963BC"/>
    <w:rsid w:val="00CA10FC"/>
    <w:rsid w:val="00CA2BAD"/>
    <w:rsid w:val="00CA34F5"/>
    <w:rsid w:val="00CA7720"/>
    <w:rsid w:val="00CB24FB"/>
    <w:rsid w:val="00CB66BC"/>
    <w:rsid w:val="00CC4CA2"/>
    <w:rsid w:val="00CC6A1E"/>
    <w:rsid w:val="00CC78D0"/>
    <w:rsid w:val="00CD5DD5"/>
    <w:rsid w:val="00CE5965"/>
    <w:rsid w:val="00CF2267"/>
    <w:rsid w:val="00CF3CE3"/>
    <w:rsid w:val="00CF49F1"/>
    <w:rsid w:val="00D02A60"/>
    <w:rsid w:val="00D02CB5"/>
    <w:rsid w:val="00D06CBC"/>
    <w:rsid w:val="00D12E8D"/>
    <w:rsid w:val="00D22A31"/>
    <w:rsid w:val="00D35CA7"/>
    <w:rsid w:val="00D52A25"/>
    <w:rsid w:val="00D532DD"/>
    <w:rsid w:val="00D73E03"/>
    <w:rsid w:val="00D75D7B"/>
    <w:rsid w:val="00D76966"/>
    <w:rsid w:val="00D76B16"/>
    <w:rsid w:val="00D805C2"/>
    <w:rsid w:val="00D83225"/>
    <w:rsid w:val="00D85018"/>
    <w:rsid w:val="00D92A99"/>
    <w:rsid w:val="00DB0160"/>
    <w:rsid w:val="00DB2080"/>
    <w:rsid w:val="00DB3084"/>
    <w:rsid w:val="00DB4CA2"/>
    <w:rsid w:val="00DD075C"/>
    <w:rsid w:val="00DD3745"/>
    <w:rsid w:val="00DE1C4D"/>
    <w:rsid w:val="00DE329C"/>
    <w:rsid w:val="00DF28E8"/>
    <w:rsid w:val="00DF5BA9"/>
    <w:rsid w:val="00E11207"/>
    <w:rsid w:val="00E140EB"/>
    <w:rsid w:val="00E20F66"/>
    <w:rsid w:val="00E21F3F"/>
    <w:rsid w:val="00E23EE2"/>
    <w:rsid w:val="00E31EE5"/>
    <w:rsid w:val="00E35F8F"/>
    <w:rsid w:val="00E44C8D"/>
    <w:rsid w:val="00E461BD"/>
    <w:rsid w:val="00E529FC"/>
    <w:rsid w:val="00E54F39"/>
    <w:rsid w:val="00E634C1"/>
    <w:rsid w:val="00E66335"/>
    <w:rsid w:val="00E806FE"/>
    <w:rsid w:val="00E83261"/>
    <w:rsid w:val="00E90624"/>
    <w:rsid w:val="00E94799"/>
    <w:rsid w:val="00EA5997"/>
    <w:rsid w:val="00ED46F1"/>
    <w:rsid w:val="00EE0551"/>
    <w:rsid w:val="00EE3343"/>
    <w:rsid w:val="00EF0065"/>
    <w:rsid w:val="00EF479E"/>
    <w:rsid w:val="00F136FD"/>
    <w:rsid w:val="00F14120"/>
    <w:rsid w:val="00F15A80"/>
    <w:rsid w:val="00F164A9"/>
    <w:rsid w:val="00F17334"/>
    <w:rsid w:val="00F374DB"/>
    <w:rsid w:val="00F41E46"/>
    <w:rsid w:val="00F429D2"/>
    <w:rsid w:val="00F476C6"/>
    <w:rsid w:val="00F63F91"/>
    <w:rsid w:val="00F64F16"/>
    <w:rsid w:val="00F72B3D"/>
    <w:rsid w:val="00F73550"/>
    <w:rsid w:val="00F77EE2"/>
    <w:rsid w:val="00F86B5A"/>
    <w:rsid w:val="00F9380D"/>
    <w:rsid w:val="00F9514C"/>
    <w:rsid w:val="00F96A9B"/>
    <w:rsid w:val="00FB07EF"/>
    <w:rsid w:val="00FB24FA"/>
    <w:rsid w:val="00FB689A"/>
    <w:rsid w:val="00FC0F63"/>
    <w:rsid w:val="00FC2E61"/>
    <w:rsid w:val="00FC3010"/>
    <w:rsid w:val="00FE4D34"/>
    <w:rsid w:val="00FF1A71"/>
    <w:rsid w:val="00FF1D7A"/>
    <w:rsid w:val="00FF6C89"/>
    <w:rsid w:val="09002AD1"/>
    <w:rsid w:val="0F846D78"/>
    <w:rsid w:val="10DB4FE7"/>
    <w:rsid w:val="114634B5"/>
    <w:rsid w:val="15EB1374"/>
    <w:rsid w:val="1A191A3B"/>
    <w:rsid w:val="1BAF43D5"/>
    <w:rsid w:val="21973D37"/>
    <w:rsid w:val="2EEC0E84"/>
    <w:rsid w:val="30627434"/>
    <w:rsid w:val="30CF7A34"/>
    <w:rsid w:val="36C312D4"/>
    <w:rsid w:val="38F14165"/>
    <w:rsid w:val="392C2DE7"/>
    <w:rsid w:val="399C6FF8"/>
    <w:rsid w:val="46863EE0"/>
    <w:rsid w:val="49F37203"/>
    <w:rsid w:val="4EF96D96"/>
    <w:rsid w:val="51DD0A7A"/>
    <w:rsid w:val="55326703"/>
    <w:rsid w:val="5A165013"/>
    <w:rsid w:val="5B732A31"/>
    <w:rsid w:val="64983DE5"/>
    <w:rsid w:val="66587C8E"/>
    <w:rsid w:val="6A190B4E"/>
    <w:rsid w:val="706E431B"/>
    <w:rsid w:val="72D02B5E"/>
    <w:rsid w:val="7558553B"/>
    <w:rsid w:val="7CEE1250"/>
    <w:rsid w:val="7E49623A"/>
    <w:rsid w:val="7EDD0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Calibri" w:hAnsi="Calibri" w:eastAsia="宋体" w:cs="Times New Roman"/>
      <w:kern w:val="2"/>
      <w:sz w:val="18"/>
      <w:szCs w:val="18"/>
    </w:rPr>
  </w:style>
  <w:style w:type="character" w:customStyle="1" w:styleId="8">
    <w:name w:val="tbnn_title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A45A44-767F-4A04-962E-964792A96BB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2465</Words>
  <Characters>220</Characters>
  <Lines>1</Lines>
  <Paragraphs>5</Paragraphs>
  <TotalTime>2</TotalTime>
  <ScaleCrop>false</ScaleCrop>
  <LinksUpToDate>false</LinksUpToDate>
  <CharactersWithSpaces>2680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2018-05-14T04:06:00Z</dcterms:created>
  <dc:creator>Administrator</dc:creator>
  <cp:lastModifiedBy>小稀饭。╮</cp:lastModifiedBy>
  <cp:lastPrinted>2017-04-28T02:38:00Z</cp:lastPrinted>
  <dcterms:modified xsi:type="dcterms:W3CDTF">2018-05-16T07:11:21Z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