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cs="Times New Roman"/>
          <w:b/>
          <w:bCs/>
          <w:sz w:val="36"/>
          <w:szCs w:val="36"/>
        </w:rPr>
      </w:pPr>
      <w:r>
        <w:rPr>
          <w:b/>
          <w:bCs/>
          <w:sz w:val="32"/>
          <w:szCs w:val="32"/>
        </w:rPr>
        <w:t xml:space="preserve">                                                                                                                                                                    </w:t>
      </w:r>
    </w:p>
    <w:p>
      <w:pPr>
        <w:snapToGrid w:val="0"/>
        <w:spacing w:line="480" w:lineRule="exact"/>
        <w:jc w:val="center"/>
        <w:rPr>
          <w:rFonts w:ascii="黑体" w:eastAsia="黑体" w:cs="Times New Roman"/>
          <w:color w:val="000000"/>
          <w:sz w:val="36"/>
          <w:szCs w:val="36"/>
        </w:rPr>
      </w:pPr>
    </w:p>
    <w:p>
      <w:pPr>
        <w:snapToGrid w:val="0"/>
        <w:spacing w:line="360" w:lineRule="auto"/>
        <w:jc w:val="center"/>
        <w:rPr>
          <w:rFonts w:ascii="黑体" w:eastAsia="黑体" w:cs="Times New Roman"/>
          <w:color w:val="000000"/>
          <w:sz w:val="36"/>
          <w:szCs w:val="36"/>
        </w:rPr>
      </w:pPr>
    </w:p>
    <w:p>
      <w:pPr>
        <w:snapToGrid w:val="0"/>
        <w:spacing w:line="360" w:lineRule="auto"/>
        <w:jc w:val="center"/>
        <w:rPr>
          <w:rFonts w:ascii="黑体" w:eastAsia="黑体" w:cs="Times New Roman"/>
          <w:color w:val="000000"/>
          <w:sz w:val="30"/>
          <w:szCs w:val="30"/>
        </w:rPr>
      </w:pPr>
    </w:p>
    <w:p>
      <w:pPr>
        <w:snapToGrid w:val="0"/>
        <w:spacing w:line="360" w:lineRule="auto"/>
        <w:jc w:val="center"/>
        <w:rPr>
          <w:rFonts w:ascii="黑体" w:eastAsia="黑体" w:cs="Times New Roman"/>
          <w:color w:val="000000"/>
          <w:sz w:val="11"/>
          <w:szCs w:val="11"/>
        </w:rPr>
      </w:pPr>
    </w:p>
    <w:p>
      <w:pPr>
        <w:snapToGrid w:val="0"/>
        <w:spacing w:line="360" w:lineRule="auto"/>
        <w:jc w:val="center"/>
        <w:rPr>
          <w:rFonts w:ascii="华文中宋" w:hAnsi="华文中宋" w:eastAsia="华文中宋" w:cs="Times New Roman"/>
          <w:color w:val="FFFFFF"/>
          <w:spacing w:val="-120"/>
          <w:w w:val="80"/>
          <w:sz w:val="112"/>
          <w:szCs w:val="112"/>
        </w:rPr>
      </w:pPr>
      <w:r>
        <w:rPr>
          <w:rFonts w:hint="eastAsia" w:ascii="华文中宋" w:hAnsi="华文中宋" w:eastAsia="华文中宋" w:cs="华文中宋"/>
          <w:color w:val="FFFFFF"/>
          <w:spacing w:val="-120"/>
          <w:w w:val="80"/>
          <w:sz w:val="112"/>
          <w:szCs w:val="112"/>
        </w:rPr>
        <w:t>河南应用技术职业学院文件</w:t>
      </w:r>
    </w:p>
    <w:p>
      <w:pPr>
        <w:spacing w:line="400" w:lineRule="exact"/>
        <w:jc w:val="center"/>
        <w:rPr>
          <w:rFonts w:hint="eastAsia" w:asciiTheme="minorEastAsia" w:hAnsiTheme="minorEastAsia" w:eastAsiaTheme="minorEastAsia" w:cstheme="minorEastAsia"/>
          <w:color w:val="000000"/>
          <w:sz w:val="36"/>
          <w:szCs w:val="36"/>
        </w:rPr>
      </w:pPr>
      <w:r>
        <w:rPr>
          <w:rFonts w:hint="eastAsia" w:ascii="仿宋_GB2312" w:hAnsi="仿宋_GB2312" w:eastAsia="仿宋_GB2312" w:cs="仿宋_GB2312"/>
          <w:color w:val="000000"/>
          <w:sz w:val="36"/>
          <w:szCs w:val="36"/>
        </w:rPr>
        <w:t>豫应职院院字</w:t>
      </w:r>
      <w:r>
        <w:rPr>
          <w:rStyle w:val="7"/>
          <w:rFonts w:hint="eastAsia" w:ascii="仿宋_GB2312" w:hAnsi="仿宋_GB2312" w:eastAsia="仿宋_GB2312" w:cs="仿宋_GB2312"/>
          <w:sz w:val="34"/>
          <w:szCs w:val="34"/>
        </w:rPr>
        <w:t>〔2017〕</w:t>
      </w:r>
      <w:r>
        <w:rPr>
          <w:rStyle w:val="7"/>
          <w:rFonts w:hint="eastAsia" w:ascii="仿宋_GB2312" w:hAnsi="仿宋_GB2312" w:eastAsia="仿宋_GB2312" w:cs="仿宋_GB2312"/>
          <w:sz w:val="34"/>
          <w:szCs w:val="34"/>
          <w:lang w:val="en-US" w:eastAsia="zh-CN"/>
        </w:rPr>
        <w:t>16</w:t>
      </w:r>
      <w:r>
        <w:rPr>
          <w:rFonts w:hint="eastAsia" w:ascii="仿宋_GB2312" w:hAnsi="仿宋_GB2312" w:eastAsia="仿宋_GB2312" w:cs="仿宋_GB2312"/>
          <w:color w:val="000000"/>
          <w:sz w:val="34"/>
          <w:szCs w:val="34"/>
        </w:rPr>
        <w:t>号</w:t>
      </w:r>
      <w:r>
        <w:rPr>
          <w:rFonts w:hint="eastAsia" w:asciiTheme="minorEastAsia" w:hAnsiTheme="minorEastAsia" w:eastAsiaTheme="minorEastAsia" w:cstheme="minorEastAsia"/>
          <w:color w:val="000000"/>
          <w:sz w:val="34"/>
          <w:szCs w:val="34"/>
        </w:rPr>
        <w:t xml:space="preserve">         </w:t>
      </w:r>
    </w:p>
    <w:p>
      <w:pPr>
        <w:snapToGrid w:val="0"/>
        <w:spacing w:line="480" w:lineRule="exact"/>
        <w:jc w:val="right"/>
        <w:rPr>
          <w:rFonts w:ascii="宋体" w:cs="Times New Roman"/>
          <w:b/>
          <w:bCs/>
          <w:color w:val="000000"/>
          <w:sz w:val="36"/>
          <w:szCs w:val="36"/>
        </w:rPr>
      </w:pPr>
    </w:p>
    <w:p>
      <w:pPr>
        <w:widowControl/>
        <w:shd w:val="clear" w:color="auto" w:fill="FFFFFF"/>
        <w:spacing w:line="330" w:lineRule="atLeast"/>
        <w:jc w:val="center"/>
        <w:rPr>
          <w:rFonts w:hint="eastAsia"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关于印发《河南应用技术职业学院</w:t>
      </w:r>
      <w:bookmarkStart w:id="0" w:name="_GoBack"/>
      <w:bookmarkEnd w:id="0"/>
    </w:p>
    <w:p>
      <w:pPr>
        <w:widowControl/>
        <w:shd w:val="clear" w:color="auto" w:fill="FFFFFF"/>
        <w:spacing w:line="330" w:lineRule="atLeast"/>
        <w:jc w:val="center"/>
        <w:rPr>
          <w:rFonts w:hint="eastAsia"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201</w:t>
      </w:r>
      <w:r>
        <w:rPr>
          <w:rFonts w:hint="eastAsia" w:ascii="方正小标宋简体" w:hAnsi="方正小标宋简体" w:eastAsia="方正小标宋简体" w:cs="方正小标宋简体"/>
          <w:bCs/>
          <w:color w:val="000000"/>
          <w:kern w:val="0"/>
          <w:sz w:val="36"/>
          <w:szCs w:val="36"/>
          <w:lang w:val="en-US" w:eastAsia="zh-CN"/>
        </w:rPr>
        <w:t>7</w:t>
      </w:r>
      <w:r>
        <w:rPr>
          <w:rFonts w:hint="eastAsia" w:ascii="方正小标宋简体" w:hAnsi="方正小标宋简体" w:eastAsia="方正小标宋简体" w:cs="方正小标宋简体"/>
          <w:bCs/>
          <w:color w:val="000000"/>
          <w:kern w:val="0"/>
          <w:sz w:val="36"/>
          <w:szCs w:val="36"/>
        </w:rPr>
        <w:t>年信息化教学竞赛方案》的通知</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left="0" w:leftChars="0" w:right="0" w:rightChars="0" w:firstLine="0" w:firstLineChars="0"/>
        <w:jc w:val="left"/>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校</w:t>
      </w:r>
      <w:r>
        <w:rPr>
          <w:rFonts w:hint="eastAsia" w:ascii="仿宋_GB2312" w:hAnsi="仿宋_GB2312" w:eastAsia="仿宋_GB2312" w:cs="仿宋_GB2312"/>
          <w:bCs/>
          <w:color w:val="000000"/>
          <w:kern w:val="0"/>
          <w:sz w:val="32"/>
          <w:szCs w:val="32"/>
        </w:rPr>
        <w:t>属各部门：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为</w:t>
      </w:r>
      <w:r>
        <w:rPr>
          <w:rFonts w:hint="eastAsia" w:ascii="仿宋_GB2312" w:hAnsi="仿宋_GB2312" w:eastAsia="仿宋_GB2312" w:cs="仿宋_GB2312"/>
          <w:bCs/>
          <w:color w:val="000000"/>
          <w:kern w:val="0"/>
          <w:sz w:val="32"/>
          <w:szCs w:val="32"/>
        </w:rPr>
        <w:t>提高我校教师教育技术应用能力和信息化教学水平，促进信息技术在教育教学中广泛应用，经学院研究制定了《河南应用技术职业学院201</w:t>
      </w:r>
      <w:r>
        <w:rPr>
          <w:rFonts w:hint="eastAsia" w:ascii="仿宋_GB2312" w:hAnsi="仿宋_GB2312" w:eastAsia="仿宋_GB2312" w:cs="仿宋_GB2312"/>
          <w:bCs/>
          <w:color w:val="000000"/>
          <w:kern w:val="0"/>
          <w:sz w:val="32"/>
          <w:szCs w:val="32"/>
          <w:lang w:val="en-US" w:eastAsia="zh-CN"/>
        </w:rPr>
        <w:t>7</w:t>
      </w:r>
      <w:r>
        <w:rPr>
          <w:rFonts w:hint="eastAsia" w:ascii="仿宋_GB2312" w:hAnsi="仿宋_GB2312" w:eastAsia="仿宋_GB2312" w:cs="仿宋_GB2312"/>
          <w:bCs/>
          <w:color w:val="000000"/>
          <w:kern w:val="0"/>
          <w:sz w:val="32"/>
          <w:szCs w:val="32"/>
        </w:rPr>
        <w:t>年信息化教学竞赛方案》，现印发给你们，请结合实际，</w:t>
      </w:r>
      <w:r>
        <w:rPr>
          <w:rFonts w:hint="eastAsia" w:ascii="仿宋_GB2312" w:hAnsi="仿宋_GB2312" w:eastAsia="仿宋_GB2312" w:cs="仿宋_GB2312"/>
          <w:bCs/>
          <w:color w:val="000000"/>
          <w:kern w:val="0"/>
          <w:sz w:val="32"/>
          <w:szCs w:val="32"/>
          <w:lang w:eastAsia="zh-CN"/>
        </w:rPr>
        <w:t>组织本部门教师积极参加</w:t>
      </w:r>
      <w:r>
        <w:rPr>
          <w:rFonts w:hint="eastAsia" w:ascii="仿宋_GB2312" w:hAnsi="仿宋_GB2312" w:eastAsia="仿宋_GB2312" w:cs="仿宋_GB2312"/>
          <w:bCs/>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rPr>
        <w:t>附件：1.河南应用技术职业学院201</w:t>
      </w:r>
      <w:r>
        <w:rPr>
          <w:rFonts w:hint="eastAsia" w:ascii="仿宋_GB2312" w:hAnsi="仿宋_GB2312" w:eastAsia="仿宋_GB2312" w:cs="仿宋_GB2312"/>
          <w:bCs/>
          <w:color w:val="000000"/>
          <w:kern w:val="0"/>
          <w:sz w:val="32"/>
          <w:szCs w:val="32"/>
          <w:lang w:val="en-US" w:eastAsia="zh-CN"/>
        </w:rPr>
        <w:t>7</w:t>
      </w:r>
      <w:r>
        <w:rPr>
          <w:rFonts w:hint="eastAsia" w:ascii="仿宋_GB2312" w:hAnsi="仿宋_GB2312" w:eastAsia="仿宋_GB2312" w:cs="仿宋_GB2312"/>
          <w:bCs/>
          <w:color w:val="000000"/>
          <w:kern w:val="0"/>
          <w:sz w:val="32"/>
          <w:szCs w:val="32"/>
        </w:rPr>
        <w:t>年信息化教学竞</w:t>
      </w:r>
      <w:r>
        <w:rPr>
          <w:rFonts w:hint="eastAsia" w:ascii="仿宋_GB2312" w:hAnsi="仿宋_GB2312" w:eastAsia="仿宋_GB2312" w:cs="仿宋_GB2312"/>
          <w:bCs/>
          <w:color w:val="000000"/>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赛方案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2.赛项评分标准（评审细则）</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ascii="仿宋_GB2312" w:hAnsi="仿宋_GB2312" w:eastAsia="仿宋_GB2312" w:cs="仿宋_GB2312"/>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ascii="仿宋_GB2312" w:hAnsi="仿宋_GB2312" w:eastAsia="仿宋_GB2312" w:cs="仿宋_GB2312"/>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201</w:t>
      </w:r>
      <w:r>
        <w:rPr>
          <w:rFonts w:hint="eastAsia" w:ascii="仿宋_GB2312" w:hAnsi="仿宋_GB2312" w:eastAsia="仿宋_GB2312" w:cs="仿宋_GB2312"/>
          <w:bCs/>
          <w:color w:val="000000"/>
          <w:kern w:val="0"/>
          <w:sz w:val="32"/>
          <w:szCs w:val="32"/>
          <w:lang w:val="en-US" w:eastAsia="zh-CN"/>
        </w:rPr>
        <w:t>7</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lang w:val="en-US" w:eastAsia="zh-CN"/>
        </w:rPr>
        <w:t>3</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lang w:val="en-US" w:eastAsia="zh-CN"/>
        </w:rPr>
        <w:t>20</w:t>
      </w:r>
      <w:r>
        <w:rPr>
          <w:rFonts w:hint="eastAsia" w:ascii="仿宋_GB2312" w:hAnsi="仿宋_GB2312" w:eastAsia="仿宋_GB2312" w:cs="仿宋_GB2312"/>
          <w:bCs/>
          <w:color w:val="000000"/>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right"/>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br w:type="page"/>
      </w: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tbl>
      <w:tblPr>
        <w:tblStyle w:val="6"/>
        <w:tblpPr w:leftFromText="180" w:rightFromText="180" w:vertAnchor="text" w:horzAnchor="page" w:tblpX="1595" w:tblpY="1719"/>
        <w:tblOverlap w:val="never"/>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757" w:type="dxa"/>
            <w:tcBorders>
              <w:left w:val="nil"/>
              <w:right w:val="nil"/>
            </w:tcBorders>
          </w:tcPr>
          <w:p>
            <w:pPr>
              <w:ind w:firstLine="150" w:firstLineChars="50"/>
              <w:rPr>
                <w:rFonts w:hAnsi="宋体" w:cs="Times New Roman"/>
              </w:rPr>
            </w:pPr>
            <w:r>
              <w:rPr>
                <w:rFonts w:hint="eastAsia" w:ascii="仿宋_GB2312" w:hAnsi="宋体" w:eastAsia="仿宋_GB2312" w:cs="仿宋_GB2312"/>
                <w:sz w:val="30"/>
                <w:szCs w:val="30"/>
              </w:rPr>
              <w:t>河南应用技术职业学院办公室</w:t>
            </w:r>
            <w:r>
              <w:rPr>
                <w:rFonts w:ascii="仿宋_GB2312" w:hAnsi="宋体" w:eastAsia="仿宋_GB2312" w:cs="仿宋_GB2312"/>
                <w:sz w:val="30"/>
                <w:szCs w:val="30"/>
              </w:rPr>
              <w:t xml:space="preserve">          </w:t>
            </w:r>
            <w:r>
              <w:rPr>
                <w:rFonts w:hint="eastAsia" w:ascii="仿宋_GB2312" w:hAnsi="宋体" w:eastAsia="仿宋_GB2312" w:cs="仿宋_GB2312"/>
                <w:sz w:val="30"/>
                <w:szCs w:val="30"/>
                <w:lang w:val="en-US" w:eastAsia="zh-CN"/>
              </w:rPr>
              <w:t xml:space="preserve"> </w:t>
            </w:r>
            <w:r>
              <w:rPr>
                <w:rFonts w:ascii="仿宋_GB2312" w:hAnsi="宋体" w:eastAsia="仿宋_GB2312" w:cs="仿宋_GB2312"/>
                <w:sz w:val="30"/>
                <w:szCs w:val="30"/>
              </w:rPr>
              <w:t>2017</w:t>
            </w:r>
            <w:r>
              <w:rPr>
                <w:rFonts w:hint="eastAsia" w:ascii="仿宋_GB2312" w:hAnsi="宋体" w:eastAsia="仿宋_GB2312" w:cs="仿宋_GB2312"/>
                <w:sz w:val="30"/>
                <w:szCs w:val="30"/>
              </w:rPr>
              <w:t>年</w:t>
            </w:r>
            <w:r>
              <w:rPr>
                <w:rFonts w:hint="eastAsia" w:ascii="仿宋_GB2312" w:hAnsi="宋体" w:eastAsia="仿宋_GB2312" w:cs="仿宋_GB2312"/>
                <w:sz w:val="30"/>
                <w:szCs w:val="30"/>
                <w:lang w:val="en-US" w:eastAsia="zh-CN"/>
              </w:rPr>
              <w:t>3</w:t>
            </w:r>
            <w:r>
              <w:rPr>
                <w:rFonts w:hint="eastAsia" w:ascii="仿宋_GB2312" w:hAnsi="宋体" w:eastAsia="仿宋_GB2312" w:cs="仿宋_GB2312"/>
                <w:sz w:val="30"/>
                <w:szCs w:val="30"/>
              </w:rPr>
              <w:t>月</w:t>
            </w:r>
            <w:r>
              <w:rPr>
                <w:rFonts w:hint="eastAsia" w:ascii="仿宋_GB2312" w:hAnsi="宋体" w:eastAsia="仿宋_GB2312" w:cs="仿宋_GB2312"/>
                <w:sz w:val="30"/>
                <w:szCs w:val="30"/>
                <w:lang w:val="en-US" w:eastAsia="zh-CN"/>
              </w:rPr>
              <w:t>20</w:t>
            </w:r>
            <w:r>
              <w:rPr>
                <w:rFonts w:hint="eastAsia" w:ascii="仿宋_GB2312" w:hAnsi="宋体" w:eastAsia="仿宋_GB2312" w:cs="仿宋_GB2312"/>
                <w:sz w:val="30"/>
                <w:szCs w:val="30"/>
              </w:rPr>
              <w:t>日印发</w:t>
            </w:r>
          </w:p>
        </w:tc>
      </w:tr>
    </w:tbl>
    <w:p>
      <w:pPr>
        <w:widowControl/>
        <w:shd w:val="clear" w:color="auto" w:fill="FFFFFF"/>
        <w:spacing w:line="330" w:lineRule="atLeast"/>
        <w:jc w:val="center"/>
        <w:rPr>
          <w:rFonts w:hint="eastAsia" w:ascii="仿宋_GB2312" w:hAnsi="仿宋_GB2312" w:eastAsia="仿宋_GB2312" w:cs="仿宋_GB2312"/>
          <w:bCs/>
          <w:color w:val="000000"/>
          <w:kern w:val="0"/>
          <w:sz w:val="32"/>
          <w:szCs w:val="32"/>
        </w:rPr>
      </w:pPr>
    </w:p>
    <w:p>
      <w:pPr>
        <w:widowControl/>
        <w:shd w:val="clear" w:color="auto" w:fill="FFFFFF"/>
        <w:spacing w:line="330" w:lineRule="atLeast"/>
        <w:jc w:val="both"/>
        <w:rPr>
          <w:rFonts w:hint="eastAsia" w:ascii="仿宋_GB2312" w:hAnsi="仿宋_GB2312" w:eastAsia="仿宋_GB2312" w:cs="仿宋_GB2312"/>
          <w:bCs/>
          <w:color w:val="000000"/>
          <w:kern w:val="0"/>
          <w:sz w:val="32"/>
          <w:szCs w:val="32"/>
        </w:rPr>
      </w:pPr>
    </w:p>
    <w:p>
      <w:pPr>
        <w:adjustRightInd w:val="0"/>
        <w:snapToGrid w:val="0"/>
        <w:spacing w:line="360" w:lineRule="auto"/>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kern w:val="0"/>
          <w:sz w:val="30"/>
          <w:szCs w:val="30"/>
        </w:rPr>
        <w:t>附件1</w:t>
      </w:r>
    </w:p>
    <w:p>
      <w:pPr>
        <w:widowControl/>
        <w:shd w:val="clear" w:color="auto" w:fill="FFFFFF"/>
        <w:spacing w:line="330" w:lineRule="atLeast"/>
        <w:jc w:val="center"/>
        <w:rPr>
          <w:rFonts w:hint="eastAsia"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河南应用技术职业学院</w:t>
      </w:r>
    </w:p>
    <w:p>
      <w:pPr>
        <w:widowControl/>
        <w:shd w:val="clear" w:color="auto" w:fill="FFFFFF"/>
        <w:spacing w:line="330" w:lineRule="atLeast"/>
        <w:jc w:val="center"/>
        <w:rPr>
          <w:rFonts w:hint="eastAsia"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2017年信息化教学竞赛方案</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330" w:lineRule="atLeast"/>
        <w:ind w:left="0" w:leftChars="0" w:right="0" w:rightChars="0" w:firstLine="600" w:firstLineChars="200"/>
        <w:jc w:val="left"/>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根据豫化院院字［2014］77号文件精神和要求，结合学院教学工作部署，特制定我院2017年信息化教学竞赛方案。</w:t>
      </w:r>
    </w:p>
    <w:p>
      <w:pPr>
        <w:widowControl/>
        <w:shd w:val="clear" w:color="auto" w:fill="FFFFFF"/>
        <w:spacing w:line="330" w:lineRule="atLeast"/>
        <w:ind w:firstLine="600" w:firstLineChars="200"/>
        <w:jc w:val="left"/>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一、竞赛时间</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竞赛决赛定于2017年5月中旬，具体时间另行通知。</w:t>
      </w:r>
    </w:p>
    <w:p>
      <w:pPr>
        <w:widowControl/>
        <w:shd w:val="clear" w:color="auto" w:fill="FFFFFF"/>
        <w:spacing w:line="330" w:lineRule="atLeast"/>
        <w:ind w:firstLine="600" w:firstLineChars="200"/>
        <w:jc w:val="left"/>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二、竞赛赛项</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根据我院信息化教学项目建设推进的整体规划以及全国信息化教学大赛的赛项设置，本次竞赛拟开展四项信息化教学竞赛赛项：（1）微课设计制作比赛；（2）信息化教学设计比赛；（3）信息化课堂教学比赛；（4）信息化实训教学比赛。</w:t>
      </w:r>
    </w:p>
    <w:p>
      <w:pPr>
        <w:widowControl/>
        <w:shd w:val="clear" w:color="auto" w:fill="FFFFFF"/>
        <w:spacing w:line="330" w:lineRule="atLeast"/>
        <w:ind w:firstLine="600" w:firstLineChars="200"/>
        <w:jc w:val="left"/>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三、各赛项基本要求</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1、微课设计制作比赛</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微课是以视频为主要载体记录教师围绕某个知识点或技能点开展的简短、完整的教学活动。参赛教师围绕一门课程的某个知识点或教学环节，充分、合理地运用各种现代教育技术手段（尤其是信息化教学手段，如二维、三维动画、生产企业一线实拍视频、HTML页面，以及PPT等），并充分运用各种教学场景、教学设备、仪器，录制成时长在5-12分钟的微课视频（最长不超过15分钟，鼓励简明易懂、短小精悍、特色鲜明的微课作品）。</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2.信息化教学设计比赛</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重点考察教师合理、充分运用信息技术、数字资源和信息化教学环境，解决教学难点，突出教学重点，系统优化教学过程，完成教学任务的能力。教学设计应基于现代教育思想和教学理念，遵循职业院校学生认知规律，科学、合理、巧妙地安排教学过程的各个环节和要素，在教师角色、教学内容、教学方法、互动方式、考核与评价等方面有所创新，在课堂教学中应用效果突出。教学设计可针对1-2课时、一个教学单元或一个任务模块的教学内容进行设计。</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3.信息化课堂教学比赛</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重点考察教师依据信息化教学设计，实施课堂教学，达成教学目标的能力。教师应根据教学内容和教学对象的特点，合理选用信息技术、数字资源和信息化教学设施，创设学习的情境，优化教与学的过程。所选的教学内容应相对独立、完整，可以是一节完整的课堂教学内容，也可以是某个知识点或者技能点的教学（训练）内容，教学时长原则上控制在35～45分钟。</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4.信息化实训教学比赛</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重点考察教师针对给定的实训教学内容进行信息化教学设计和完成规定操作的能力。参赛教师根据教学实际设定教学目标、创设学习的情境，完成信息化教学设计，并结合规定的设施设备完成实际操作，展现良好的实践教学能力和职业素养，教学设计应已用于实际教学，效果突出。本项竞赛由参赛单位（团队）自拟实训课题。</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注：上述“微课设计制作”赛项优秀作品样本可参考全国高校微课教学比赛官网（http：//weike.enetedu.com /）；“信息化教学设计”、“信息化课堂教学”、“信息化实训教学”三赛项优秀作品样本可参考全国信息化教学大赛官网（http：//www.nvic.com.cn/）。</w:t>
      </w:r>
    </w:p>
    <w:p>
      <w:pPr>
        <w:widowControl/>
        <w:shd w:val="clear" w:color="auto" w:fill="FFFFFF"/>
        <w:spacing w:line="330" w:lineRule="atLeast"/>
        <w:ind w:firstLine="600" w:firstLineChars="200"/>
        <w:jc w:val="left"/>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四、各赛项比赛办法</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1.微课设计制作</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参赛教师上报所制作的微课（视频文件），比赛时通过播放微课视频，评审专家集中观看并根据评分标准进行评审（根据上交作品情况另行决定初评、终评程序）。</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2.信息化教学设计</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参赛教师针对本人的信息化教学设计录制不超过10分钟的讲解视频并提交，由评审专家组集中初评决定入围决赛的作品。决赛时由参赛教师现场讲解教学设计10分钟，答辩5分钟，由评审专家依据评分标准现场集中评审。</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3.信息化课堂教学</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参赛主讲教师根据自己的教学设计实施课堂教学，录制课堂教学视频。视频应保证视频音轨信号完整、连贯，清晰反映师生课堂教学情况，画面可在不同机位间切换（不允许另行剪辑）。评审专家集中观看视频，根据评分标准进行评审。</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4.信息化实训教学比赛</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参赛教师录制不超过20分钟的视频，讲解信息化实训教学，完成规定的操作。评审专家组对提交的视频进行初评决定入围决赛的作品。决赛时由主讲教师讲解教学设计并完成现场操作（20分钟），团队其他成员可参与答辩（5分钟），评审专家现场根据评分标准集中评审。</w:t>
      </w:r>
    </w:p>
    <w:p>
      <w:pPr>
        <w:widowControl/>
        <w:shd w:val="clear" w:color="auto" w:fill="FFFFFF"/>
        <w:spacing w:line="330" w:lineRule="atLeast"/>
        <w:ind w:firstLine="600" w:firstLineChars="200"/>
        <w:jc w:val="left"/>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五、竞赛参赛办法及要求</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1、为推动我院信息化教学的深入开展，切实提升我院教师信息化教学技能水平，本次竞赛活动面向我院东、西两个校区，要求两校区专兼职任课教师积极参与。</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各专兼职教师向所属院（部）进行参赛报名，可独立报名或组建团队报名。组建团队参与的由团队主持人负责报名，各赛项团队成员必须控制在3人以内，且应各有任务、分工明确。原则上，每位教师报名参与的项目不得超过两个。</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 本次竞赛各赛项均分为“院（部）评选推优”和“全院决赛”两个阶段。各院（部）评选推优由各院（部）自行组织并将推选作品集中报至教务处，全院决赛由教务处统一组织实施。</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各院（部）应积极动员、组织所属教师报名参赛。由于本次竞赛赛项较多，各院（部）注意结合部门实际情况组织协调各赛项参与比例，合理、均衡地选报赛项。要求各学院每个赛项应至少有1件作品，其他教学部除“信息化实训教学比赛”赛项外，其余各赛项均应保证至少1件作品。各院（部）推优作品数量最低指标如下表所示。推优作品数量不设上限，鼓励各院（部）教师踊跃参与。</w:t>
      </w:r>
    </w:p>
    <w:p>
      <w:pPr>
        <w:widowControl/>
        <w:shd w:val="clear" w:color="auto" w:fill="FFFFFF"/>
        <w:spacing w:line="330" w:lineRule="atLeas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各教学院（部）推优作品最低数量指标表</w:t>
      </w:r>
    </w:p>
    <w:tbl>
      <w:tblPr>
        <w:tblStyle w:val="6"/>
        <w:tblW w:w="8332" w:type="dxa"/>
        <w:jc w:val="center"/>
        <w:tblInd w:w="-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708"/>
        <w:gridCol w:w="1305"/>
        <w:gridCol w:w="2664"/>
        <w:gridCol w:w="70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573"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院（部）</w:t>
            </w:r>
          </w:p>
        </w:tc>
        <w:tc>
          <w:tcPr>
            <w:tcW w:w="2013"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推优作品</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数量</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（不少于）</w:t>
            </w:r>
          </w:p>
        </w:tc>
        <w:tc>
          <w:tcPr>
            <w:tcW w:w="266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院（部）</w:t>
            </w:r>
          </w:p>
        </w:tc>
        <w:tc>
          <w:tcPr>
            <w:tcW w:w="2082"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推优作品</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数量</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（不少于）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573"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p>
        </w:tc>
        <w:tc>
          <w:tcPr>
            <w:tcW w:w="70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微课</w:t>
            </w:r>
          </w:p>
        </w:tc>
        <w:tc>
          <w:tcPr>
            <w:tcW w:w="130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信息化教学</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大赛</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三赛项</w:t>
            </w:r>
          </w:p>
        </w:tc>
        <w:tc>
          <w:tcPr>
            <w:tcW w:w="266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p>
        </w:tc>
        <w:tc>
          <w:tcPr>
            <w:tcW w:w="7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微课</w:t>
            </w:r>
          </w:p>
        </w:tc>
        <w:tc>
          <w:tcPr>
            <w:tcW w:w="13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信息化教学</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大赛</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5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化学工程学院</w:t>
            </w:r>
          </w:p>
        </w:tc>
        <w:tc>
          <w:tcPr>
            <w:tcW w:w="70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w:t>
            </w:r>
          </w:p>
        </w:tc>
        <w:tc>
          <w:tcPr>
            <w:tcW w:w="130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w:t>
            </w:r>
          </w:p>
        </w:tc>
        <w:tc>
          <w:tcPr>
            <w:tcW w:w="266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体育教学部</w:t>
            </w:r>
          </w:p>
        </w:tc>
        <w:tc>
          <w:tcPr>
            <w:tcW w:w="7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w:t>
            </w:r>
          </w:p>
        </w:tc>
        <w:tc>
          <w:tcPr>
            <w:tcW w:w="13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5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机电工程学院</w:t>
            </w:r>
          </w:p>
        </w:tc>
        <w:tc>
          <w:tcPr>
            <w:tcW w:w="70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w:t>
            </w:r>
          </w:p>
        </w:tc>
        <w:tc>
          <w:tcPr>
            <w:tcW w:w="130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w:t>
            </w:r>
          </w:p>
        </w:tc>
        <w:tc>
          <w:tcPr>
            <w:tcW w:w="266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思政部（含心理健康教育中心）</w:t>
            </w:r>
          </w:p>
        </w:tc>
        <w:tc>
          <w:tcPr>
            <w:tcW w:w="7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w:t>
            </w:r>
          </w:p>
        </w:tc>
        <w:tc>
          <w:tcPr>
            <w:tcW w:w="13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5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信息工程学院</w:t>
            </w:r>
          </w:p>
        </w:tc>
        <w:tc>
          <w:tcPr>
            <w:tcW w:w="70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w:t>
            </w:r>
          </w:p>
        </w:tc>
        <w:tc>
          <w:tcPr>
            <w:tcW w:w="130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w:t>
            </w:r>
          </w:p>
        </w:tc>
        <w:tc>
          <w:tcPr>
            <w:tcW w:w="266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基础教学部（东）</w:t>
            </w:r>
          </w:p>
        </w:tc>
        <w:tc>
          <w:tcPr>
            <w:tcW w:w="7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w:t>
            </w:r>
          </w:p>
        </w:tc>
        <w:tc>
          <w:tcPr>
            <w:tcW w:w="13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5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商贸学院</w:t>
            </w:r>
          </w:p>
        </w:tc>
        <w:tc>
          <w:tcPr>
            <w:tcW w:w="70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w:t>
            </w:r>
          </w:p>
        </w:tc>
        <w:tc>
          <w:tcPr>
            <w:tcW w:w="130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w:t>
            </w:r>
          </w:p>
        </w:tc>
        <w:tc>
          <w:tcPr>
            <w:tcW w:w="266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体育教学部（东）</w:t>
            </w:r>
          </w:p>
        </w:tc>
        <w:tc>
          <w:tcPr>
            <w:tcW w:w="7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p>
        </w:tc>
        <w:tc>
          <w:tcPr>
            <w:tcW w:w="13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5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会计学院</w:t>
            </w:r>
          </w:p>
        </w:tc>
        <w:tc>
          <w:tcPr>
            <w:tcW w:w="70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w:t>
            </w:r>
          </w:p>
        </w:tc>
        <w:tc>
          <w:tcPr>
            <w:tcW w:w="130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w:t>
            </w:r>
          </w:p>
        </w:tc>
        <w:tc>
          <w:tcPr>
            <w:tcW w:w="266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思政部（含心理健康教育中心）（东）</w:t>
            </w:r>
          </w:p>
        </w:tc>
        <w:tc>
          <w:tcPr>
            <w:tcW w:w="7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13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573"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建筑工程学院</w:t>
            </w:r>
          </w:p>
        </w:tc>
        <w:tc>
          <w:tcPr>
            <w:tcW w:w="708"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600" w:firstLineChars="200"/>
              <w:jc w:val="center"/>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w:t>
            </w:r>
          </w:p>
        </w:tc>
        <w:tc>
          <w:tcPr>
            <w:tcW w:w="1305"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w:t>
            </w:r>
          </w:p>
        </w:tc>
        <w:tc>
          <w:tcPr>
            <w:tcW w:w="2664"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制药工程学院（东）</w:t>
            </w:r>
          </w:p>
        </w:tc>
        <w:tc>
          <w:tcPr>
            <w:tcW w:w="709"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600" w:firstLineChars="200"/>
              <w:jc w:val="center"/>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w:t>
            </w:r>
          </w:p>
        </w:tc>
        <w:tc>
          <w:tcPr>
            <w:tcW w:w="1373"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573"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护理学院</w:t>
            </w:r>
          </w:p>
        </w:tc>
        <w:tc>
          <w:tcPr>
            <w:tcW w:w="708"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600" w:firstLineChars="200"/>
              <w:jc w:val="center"/>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w:t>
            </w:r>
          </w:p>
        </w:tc>
        <w:tc>
          <w:tcPr>
            <w:tcW w:w="1305"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w:t>
            </w:r>
          </w:p>
        </w:tc>
        <w:tc>
          <w:tcPr>
            <w:tcW w:w="2664"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医药学院（东）</w:t>
            </w:r>
          </w:p>
        </w:tc>
        <w:tc>
          <w:tcPr>
            <w:tcW w:w="709"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600" w:firstLineChars="200"/>
              <w:jc w:val="center"/>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w:t>
            </w:r>
          </w:p>
        </w:tc>
        <w:tc>
          <w:tcPr>
            <w:tcW w:w="1373"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73"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基础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教学部</w:t>
            </w:r>
          </w:p>
        </w:tc>
        <w:tc>
          <w:tcPr>
            <w:tcW w:w="708"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600" w:firstLineChars="200"/>
              <w:jc w:val="center"/>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w:t>
            </w:r>
          </w:p>
        </w:tc>
        <w:tc>
          <w:tcPr>
            <w:tcW w:w="1305"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w:t>
            </w:r>
          </w:p>
        </w:tc>
        <w:tc>
          <w:tcPr>
            <w:tcW w:w="2664"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信息工程学院（东）</w:t>
            </w:r>
          </w:p>
        </w:tc>
        <w:tc>
          <w:tcPr>
            <w:tcW w:w="709"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600" w:firstLineChars="200"/>
              <w:jc w:val="center"/>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w:t>
            </w:r>
          </w:p>
        </w:tc>
        <w:tc>
          <w:tcPr>
            <w:tcW w:w="1373"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w:t>
            </w:r>
          </w:p>
        </w:tc>
      </w:tr>
    </w:tbl>
    <w:p>
      <w:pPr>
        <w:widowControl/>
        <w:shd w:val="clear" w:color="auto" w:fill="FFFFFF"/>
        <w:spacing w:line="330" w:lineRule="atLeast"/>
        <w:ind w:firstLine="600" w:firstLineChars="200"/>
        <w:jc w:val="left"/>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六、竞赛奖励与项目立项办法</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本次竞赛（决赛）各赛项设一、二、三等奖，分别占决赛参赛作品的10%、20%、30%，获奖参赛教师将获得学院颁发的获奖证书，一、二、三等奖分别奖励奖金800元、500元、300元，并在学期绩效考评有关环节予以相应加分。</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2.对本次竞赛活动中组织有力、全员参与度高、有效作品数量多、作品质量较高、竞赛成绩突出的教学单位予以表彰，设立优秀组织奖三名，奖励奖金2000元。</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本次竞赛作为我院确定2017年信息化教学建设立项的主要依据。学院将组织有关专家从各赛项获奖作品中筛选出优秀的、富有开发潜力的作品予以立项建设，并给予相应配套建设资金（具体立项数量及建设资金额度由学院领导和评审专家组结合实际情况另行研究确定）。</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七、其他说明</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（1）学校将根据本次竞赛成绩给予各院（部）综合评分并纳入我校信息化教学推进实施绩效评价体系中。</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（2）学校将根据本次竞赛结果推荐优秀作品参加2017年度全国职业院校信息化教学大赛各赛项比赛。</w:t>
      </w:r>
    </w:p>
    <w:p>
      <w:pPr>
        <w:widowControl/>
        <w:shd w:val="clear" w:color="auto" w:fill="FFFFFF"/>
        <w:spacing w:line="330" w:lineRule="atLeas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（3）未尽事宜另行研究决定，本次竞赛事宜可咨询教务处。</w:t>
      </w:r>
    </w:p>
    <w:p>
      <w:pPr>
        <w:spacing w:line="375" w:lineRule="atLeas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br w:type="page"/>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Cs/>
          <w:color w:val="000000"/>
          <w:kern w:val="0"/>
          <w:sz w:val="30"/>
          <w:szCs w:val="30"/>
          <w:lang w:val="en-US" w:eastAsia="zh-CN"/>
        </w:rPr>
      </w:pPr>
      <w:r>
        <w:rPr>
          <w:rFonts w:hint="eastAsia" w:ascii="仿宋_GB2312" w:hAnsi="仿宋_GB2312" w:eastAsia="仿宋_GB2312" w:cs="仿宋_GB2312"/>
          <w:b/>
          <w:bCs w:val="0"/>
          <w:color w:val="000000"/>
          <w:kern w:val="0"/>
          <w:sz w:val="30"/>
          <w:szCs w:val="30"/>
          <w:lang w:eastAsia="zh-CN"/>
        </w:rPr>
        <w:t>附件</w:t>
      </w:r>
      <w:r>
        <w:rPr>
          <w:rFonts w:hint="eastAsia" w:ascii="仿宋_GB2312" w:hAnsi="仿宋_GB2312" w:eastAsia="仿宋_GB2312" w:cs="仿宋_GB2312"/>
          <w:b/>
          <w:bCs w:val="0"/>
          <w:color w:val="000000"/>
          <w:kern w:val="0"/>
          <w:sz w:val="30"/>
          <w:szCs w:val="30"/>
          <w:lang w:val="en-US" w:eastAsia="zh-CN"/>
        </w:rPr>
        <w:t xml:space="preserve">2 </w:t>
      </w:r>
      <w:r>
        <w:rPr>
          <w:rFonts w:hint="eastAsia" w:ascii="仿宋_GB2312" w:hAnsi="仿宋_GB2312" w:eastAsia="仿宋_GB2312" w:cs="仿宋_GB2312"/>
          <w:bCs/>
          <w:color w:val="000000"/>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赛项评分标准（评审细则）</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bCs w:val="0"/>
          <w:kern w:val="0"/>
          <w:sz w:val="30"/>
          <w:szCs w:val="30"/>
        </w:rPr>
      </w:pPr>
      <w:r>
        <w:rPr>
          <w:rFonts w:hint="eastAsia" w:ascii="仿宋_GB2312" w:hAnsi="仿宋_GB2312" w:eastAsia="仿宋_GB2312" w:cs="仿宋_GB2312"/>
          <w:b/>
          <w:bCs w:val="0"/>
          <w:color w:val="000000"/>
          <w:kern w:val="0"/>
          <w:sz w:val="36"/>
          <w:szCs w:val="36"/>
        </w:rPr>
        <w:t>1.“微课设计制作”赛项评分标准</w:t>
      </w:r>
    </w:p>
    <w:tbl>
      <w:tblPr>
        <w:tblStyle w:val="6"/>
        <w:tblW w:w="9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997"/>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166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评比指标</w:t>
            </w:r>
          </w:p>
        </w:tc>
        <w:tc>
          <w:tcPr>
            <w:tcW w:w="99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分值</w:t>
            </w:r>
          </w:p>
        </w:tc>
        <w:tc>
          <w:tcPr>
            <w:tcW w:w="711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评比要素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3" w:hRule="atLeast"/>
          <w:jc w:val="center"/>
        </w:trPr>
        <w:tc>
          <w:tcPr>
            <w:tcW w:w="166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作品</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规范</w:t>
            </w:r>
            <w:r>
              <w:rPr>
                <w:rFonts w:hint="eastAsia" w:ascii="仿宋_GB2312" w:hAnsi="仿宋_GB2312" w:eastAsia="仿宋_GB2312" w:cs="仿宋_GB2312"/>
                <w:b/>
                <w:sz w:val="30"/>
                <w:szCs w:val="30"/>
              </w:rPr>
              <w:br w:type="textWrapping"/>
            </w:r>
          </w:p>
        </w:tc>
        <w:tc>
          <w:tcPr>
            <w:tcW w:w="99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20</w:t>
            </w:r>
          </w:p>
        </w:tc>
        <w:tc>
          <w:tcPr>
            <w:tcW w:w="711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微课视频时长原则上控制在5-12分钟（不能超过15分钟）；视频图像清晰稳定、构图合理、声音清晰，主要教学环节有字幕提示等。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4" w:hRule="atLeast"/>
          <w:jc w:val="center"/>
        </w:trPr>
        <w:tc>
          <w:tcPr>
            <w:tcW w:w="166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教学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安排</w:t>
            </w:r>
            <w:r>
              <w:rPr>
                <w:rFonts w:hint="eastAsia" w:ascii="仿宋_GB2312" w:hAnsi="仿宋_GB2312" w:eastAsia="仿宋_GB2312" w:cs="仿宋_GB2312"/>
                <w:b/>
                <w:sz w:val="30"/>
                <w:szCs w:val="30"/>
              </w:rPr>
              <w:br w:type="textWrapping"/>
            </w:r>
          </w:p>
        </w:tc>
        <w:tc>
          <w:tcPr>
            <w:tcW w:w="99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50</w:t>
            </w:r>
          </w:p>
        </w:tc>
        <w:tc>
          <w:tcPr>
            <w:tcW w:w="711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color w:val="000000"/>
                <w:kern w:val="0"/>
                <w:sz w:val="30"/>
                <w:szCs w:val="30"/>
              </w:rPr>
              <w:t>1、选题价值（15分）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选取教学环节中某一知识点、技能点、专题、实训活动作为选题，针对教学中的常见、典型、有代表性的问题或内容进行设计，类型包括但不限于：讲授类、解题类、答疑类、实训实验类、活动类。选题尽量“小而精”，具备独立性、完整性、示范性、代表性，能够有效解决教与学过程中的重点、难点问题。鼓励深入浅出、通俗易懂、短小精悍的作品。</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color w:val="000000"/>
                <w:kern w:val="0"/>
                <w:sz w:val="30"/>
                <w:szCs w:val="30"/>
              </w:rPr>
              <w:t xml:space="preserve">2、教学设计与组织（15分）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（1）教学方案：围绕选题设计，突出重点，注重实效；教学目的明确，教学思路清晰，注重学生全面发展。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（2）教学内容：严谨充实，能理论联系实际，反映社会和专业发展，无科学性、政治性错误及不良信息内容。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1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（3）教学组织与编排：要符合高职高专学生的认知规律；教学过程主线清晰、重点突出，逻辑性强，明了易懂；注重突出以学生为主体的教学理念以及学做一体的有机结合。</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color w:val="000000"/>
                <w:kern w:val="0"/>
                <w:sz w:val="30"/>
                <w:szCs w:val="30"/>
              </w:rPr>
              <w:t>3、教学方法与手段（20分）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教学策略选择正确，注重调动学生的学习积极性和创造性思维能力；能根据教学需求选用灵活适当的教学方法；信息技术手段运用合理，正确选择使用各种教学媒体，教学辅助效果好。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1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鼓励教师在授课过程中，使用包括但不限于：图片、动画、视频、HTML网页等多种媒体技术，恰到好处地运用在教学过程中，以实现较好的教学效果。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3" w:hRule="atLeast"/>
          <w:jc w:val="center"/>
        </w:trPr>
        <w:tc>
          <w:tcPr>
            <w:tcW w:w="166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教学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效果</w:t>
            </w:r>
            <w:r>
              <w:rPr>
                <w:rFonts w:hint="eastAsia" w:ascii="仿宋_GB2312" w:hAnsi="仿宋_GB2312" w:eastAsia="仿宋_GB2312" w:cs="仿宋_GB2312"/>
                <w:b/>
                <w:sz w:val="30"/>
                <w:szCs w:val="30"/>
              </w:rPr>
              <w:br w:type="textWrapping"/>
            </w:r>
          </w:p>
        </w:tc>
        <w:tc>
          <w:tcPr>
            <w:tcW w:w="99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30</w:t>
            </w:r>
          </w:p>
        </w:tc>
        <w:tc>
          <w:tcPr>
            <w:tcW w:w="711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color w:val="000000"/>
                <w:kern w:val="0"/>
                <w:sz w:val="30"/>
                <w:szCs w:val="30"/>
              </w:rPr>
              <w:t>1、目标达成(15分)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完成设定的教学目标，有效解决实际教学问题，能促进学生知识运用及专业能力提高。</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color w:val="000000"/>
                <w:kern w:val="0"/>
                <w:sz w:val="30"/>
                <w:szCs w:val="30"/>
              </w:rPr>
              <w:t>2、教学特色(15分)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教学形式新颖，教学过程深入浅出，形象生动，趣味性和启发性强，教学氛围的营造有利于提升学生学习的积极主动性。</w:t>
            </w:r>
          </w:p>
        </w:tc>
      </w:tr>
    </w:tbl>
    <w:p>
      <w:pPr>
        <w:spacing w:before="156" w:beforeLines="50" w:after="156" w:afterLines="50"/>
        <w:jc w:val="center"/>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2.“信息化教学设计”赛项评分标准</w:t>
      </w:r>
    </w:p>
    <w:tbl>
      <w:tblPr>
        <w:tblStyle w:val="6"/>
        <w:tblW w:w="9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923"/>
        <w:gridCol w:w="7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2" w:hRule="atLeast"/>
          <w:jc w:val="center"/>
        </w:trPr>
        <w:tc>
          <w:tcPr>
            <w:tcW w:w="1539" w:type="dxa"/>
            <w:vAlign w:val="center"/>
          </w:tcPr>
          <w:p>
            <w:pPr>
              <w:adjustRightInd w:val="0"/>
              <w:snapToGrid w:val="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评比指标</w:t>
            </w:r>
          </w:p>
        </w:tc>
        <w:tc>
          <w:tcPr>
            <w:tcW w:w="923" w:type="dxa"/>
            <w:vAlign w:val="center"/>
          </w:tcPr>
          <w:p>
            <w:pPr>
              <w:adjustRightInd w:val="0"/>
              <w:snapToGrid w:val="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分值</w:t>
            </w:r>
          </w:p>
        </w:tc>
        <w:tc>
          <w:tcPr>
            <w:tcW w:w="7458" w:type="dxa"/>
            <w:vAlign w:val="center"/>
          </w:tcPr>
          <w:p>
            <w:pPr>
              <w:adjustRightInd w:val="0"/>
              <w:snapToGrid w:val="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评比要素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6" w:hRule="atLeast"/>
          <w:jc w:val="center"/>
        </w:trPr>
        <w:tc>
          <w:tcPr>
            <w:tcW w:w="153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教学设计</w:t>
            </w:r>
          </w:p>
        </w:tc>
        <w:tc>
          <w:tcPr>
            <w:tcW w:w="92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40</w:t>
            </w:r>
          </w:p>
        </w:tc>
        <w:tc>
          <w:tcPr>
            <w:tcW w:w="74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教学目标、内容及要求清晰、准确；充分利用信息技术和信息资源优化教学过程，教学策略得当；运用信息技术解决重难点问题或者完成特定教学任务的作用突出，体现“做中教、做中学”。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6" w:hRule="atLeast"/>
          <w:jc w:val="center"/>
        </w:trPr>
        <w:tc>
          <w:tcPr>
            <w:tcW w:w="153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内容呈现</w:t>
            </w:r>
          </w:p>
        </w:tc>
        <w:tc>
          <w:tcPr>
            <w:tcW w:w="92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25</w:t>
            </w:r>
          </w:p>
        </w:tc>
        <w:tc>
          <w:tcPr>
            <w:tcW w:w="74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教案规范、完整、突出信息化教学特点；教学内容呈现方式数字化、媒体化，传输方式网络化；选用多媒体素材适当，表现方式合理。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6" w:hRule="atLeast"/>
          <w:jc w:val="center"/>
        </w:trPr>
        <w:tc>
          <w:tcPr>
            <w:tcW w:w="153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技术应用</w:t>
            </w:r>
          </w:p>
        </w:tc>
        <w:tc>
          <w:tcPr>
            <w:tcW w:w="92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25</w:t>
            </w:r>
          </w:p>
        </w:tc>
        <w:tc>
          <w:tcPr>
            <w:tcW w:w="74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信息技术、信息资源在教学中应用恰当；图、文、音、视、动画等多媒体形式运用合理；有利于促进学生自主学习和主动学习。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atLeast"/>
          <w:jc w:val="center"/>
        </w:trPr>
        <w:tc>
          <w:tcPr>
            <w:tcW w:w="153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创新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与实用</w:t>
            </w:r>
          </w:p>
        </w:tc>
        <w:tc>
          <w:tcPr>
            <w:tcW w:w="923" w:type="dxa"/>
            <w:vAlign w:val="center"/>
          </w:tcPr>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10</w:t>
            </w:r>
          </w:p>
        </w:tc>
        <w:tc>
          <w:tcPr>
            <w:tcW w:w="74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立意新颖，构思独特，设计巧妙；适用于实际教学，有推广性。</w:t>
            </w:r>
          </w:p>
        </w:tc>
      </w:tr>
    </w:tbl>
    <w:p>
      <w:pPr>
        <w:spacing w:before="156" w:beforeLines="50" w:after="156" w:afterLines="50"/>
        <w:jc w:val="both"/>
        <w:rPr>
          <w:rFonts w:hint="eastAsia" w:ascii="仿宋_GB2312" w:hAnsi="仿宋_GB2312" w:eastAsia="仿宋_GB2312" w:cs="仿宋_GB2312"/>
          <w:b/>
          <w:bCs/>
          <w:kern w:val="0"/>
          <w:sz w:val="30"/>
          <w:szCs w:val="30"/>
        </w:rPr>
      </w:pPr>
    </w:p>
    <w:p>
      <w:pPr>
        <w:spacing w:before="156" w:beforeLines="50" w:after="156" w:afterLines="50"/>
        <w:jc w:val="center"/>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3.“信息化课堂教学”赛项评分标准</w:t>
      </w:r>
    </w:p>
    <w:tbl>
      <w:tblPr>
        <w:tblStyle w:val="6"/>
        <w:tblW w:w="9560" w:type="dxa"/>
        <w:jc w:val="center"/>
        <w:tblInd w:w="0" w:type="dxa"/>
        <w:tblLayout w:type="fixed"/>
        <w:tblCellMar>
          <w:top w:w="0" w:type="dxa"/>
          <w:left w:w="0" w:type="dxa"/>
          <w:bottom w:w="0" w:type="dxa"/>
          <w:right w:w="0" w:type="dxa"/>
        </w:tblCellMar>
      </w:tblPr>
      <w:tblGrid>
        <w:gridCol w:w="1107"/>
        <w:gridCol w:w="711"/>
        <w:gridCol w:w="7742"/>
      </w:tblGrid>
      <w:tr>
        <w:tblPrEx>
          <w:tblLayout w:type="fixed"/>
          <w:tblCellMar>
            <w:top w:w="0" w:type="dxa"/>
            <w:left w:w="0" w:type="dxa"/>
            <w:bottom w:w="0" w:type="dxa"/>
            <w:right w:w="0" w:type="dxa"/>
          </w:tblCellMar>
        </w:tblPrEx>
        <w:trPr>
          <w:cantSplit/>
          <w:trHeight w:val="1467" w:hRule="atLeast"/>
          <w:jc w:val="center"/>
        </w:trPr>
        <w:tc>
          <w:tcPr>
            <w:tcW w:w="1107" w:type="dxa"/>
            <w:tcBorders>
              <w:top w:val="single" w:color="auto" w:sz="8" w:space="0"/>
              <w:left w:val="single" w:color="auto" w:sz="8" w:space="0"/>
              <w:bottom w:val="single" w:color="auto" w:sz="8" w:space="0"/>
              <w:right w:val="single" w:color="auto" w:sz="8" w:space="0"/>
            </w:tcBorders>
            <w:tcMar>
              <w:top w:w="85" w:type="dxa"/>
              <w:left w:w="108" w:type="dxa"/>
              <w:bottom w:w="85" w:type="dxa"/>
              <w:right w:w="108" w:type="dxa"/>
            </w:tcMar>
            <w:vAlign w:val="center"/>
          </w:tcPr>
          <w:p>
            <w:pPr>
              <w:adjustRightInd w:val="0"/>
              <w:snapToGrid w:val="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评比指标</w:t>
            </w:r>
          </w:p>
        </w:tc>
        <w:tc>
          <w:tcPr>
            <w:tcW w:w="711" w:type="dxa"/>
            <w:tcBorders>
              <w:top w:val="single" w:color="auto" w:sz="8" w:space="0"/>
              <w:left w:val="nil"/>
              <w:bottom w:val="single" w:color="auto" w:sz="8" w:space="0"/>
              <w:right w:val="single" w:color="auto" w:sz="8" w:space="0"/>
            </w:tcBorders>
            <w:tcMar>
              <w:top w:w="85" w:type="dxa"/>
              <w:left w:w="108" w:type="dxa"/>
              <w:bottom w:w="85" w:type="dxa"/>
              <w:right w:w="108" w:type="dxa"/>
            </w:tcMar>
            <w:vAlign w:val="center"/>
          </w:tcPr>
          <w:p>
            <w:pPr>
              <w:adjustRightInd w:val="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分值</w:t>
            </w:r>
          </w:p>
        </w:tc>
        <w:tc>
          <w:tcPr>
            <w:tcW w:w="7742" w:type="dxa"/>
            <w:tcBorders>
              <w:top w:val="single" w:color="auto" w:sz="8" w:space="0"/>
              <w:left w:val="nil"/>
              <w:bottom w:val="single" w:color="auto" w:sz="8" w:space="0"/>
              <w:right w:val="single" w:color="auto" w:sz="8" w:space="0"/>
            </w:tcBorders>
            <w:tcMar>
              <w:top w:w="85" w:type="dxa"/>
              <w:left w:w="108" w:type="dxa"/>
              <w:bottom w:w="85" w:type="dxa"/>
              <w:right w:w="108" w:type="dxa"/>
            </w:tcMar>
            <w:vAlign w:val="center"/>
          </w:tcPr>
          <w:p>
            <w:pPr>
              <w:adjustRightInd w:val="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评比要素</w:t>
            </w:r>
          </w:p>
        </w:tc>
      </w:tr>
      <w:tr>
        <w:tblPrEx>
          <w:tblLayout w:type="fixed"/>
          <w:tblCellMar>
            <w:top w:w="0" w:type="dxa"/>
            <w:left w:w="0" w:type="dxa"/>
            <w:bottom w:w="0" w:type="dxa"/>
            <w:right w:w="0" w:type="dxa"/>
          </w:tblCellMar>
        </w:tblPrEx>
        <w:trPr>
          <w:cantSplit/>
          <w:trHeight w:val="3051" w:hRule="atLeast"/>
          <w:jc w:val="center"/>
        </w:trPr>
        <w:tc>
          <w:tcPr>
            <w:tcW w:w="1107" w:type="dxa"/>
            <w:tcBorders>
              <w:top w:val="nil"/>
              <w:left w:val="single" w:color="auto" w:sz="8" w:space="0"/>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教学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设计</w:t>
            </w:r>
          </w:p>
        </w:tc>
        <w:tc>
          <w:tcPr>
            <w:tcW w:w="711"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25</w:t>
            </w:r>
          </w:p>
        </w:tc>
        <w:tc>
          <w:tcPr>
            <w:tcW w:w="7742"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1.教学目标明确有据，教学内容安排合理，符合技术技能人才培养要求；</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2.教学策略得当，符合职业院校学生认知规律和教学实际；</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3.合理选用信息技术、数字资源和信息化教学设施，系统优化教学过程；</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4.教案完整、规范，内容科学。</w:t>
            </w:r>
          </w:p>
        </w:tc>
      </w:tr>
      <w:tr>
        <w:tblPrEx>
          <w:tblLayout w:type="fixed"/>
          <w:tblCellMar>
            <w:top w:w="0" w:type="dxa"/>
            <w:left w:w="0" w:type="dxa"/>
            <w:bottom w:w="0" w:type="dxa"/>
            <w:right w:w="0" w:type="dxa"/>
          </w:tblCellMar>
        </w:tblPrEx>
        <w:trPr>
          <w:cantSplit/>
          <w:trHeight w:val="3868" w:hRule="atLeast"/>
          <w:jc w:val="center"/>
        </w:trPr>
        <w:tc>
          <w:tcPr>
            <w:tcW w:w="1107" w:type="dxa"/>
            <w:tcBorders>
              <w:top w:val="nil"/>
              <w:left w:val="single" w:color="auto" w:sz="8" w:space="0"/>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教学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实施</w:t>
            </w:r>
          </w:p>
        </w:tc>
        <w:tc>
          <w:tcPr>
            <w:tcW w:w="711"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45</w:t>
            </w:r>
          </w:p>
        </w:tc>
        <w:tc>
          <w:tcPr>
            <w:tcW w:w="7742"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1.按照提交的教案组织课堂教学，教学过程与活动安排必要、合理，衔接自然；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2.教学组织与方法得当，教学活动学生参与面广，突出学生主体地位，体现“做中学、做中教”；</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3.信息技术与数字资源运用充分、有效，教学内容呈现恰当，满足学生学习需求；</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4.教学互动流畅、合理，针对学习反馈及时调整教学策略；</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5.教师教学态度认真严谨、仪表端庄、语言规范、表达流畅、亲和力强。</w:t>
            </w:r>
          </w:p>
        </w:tc>
      </w:tr>
      <w:tr>
        <w:tblPrEx>
          <w:tblLayout w:type="fixed"/>
          <w:tblCellMar>
            <w:top w:w="0" w:type="dxa"/>
            <w:left w:w="0" w:type="dxa"/>
            <w:bottom w:w="0" w:type="dxa"/>
            <w:right w:w="0" w:type="dxa"/>
          </w:tblCellMar>
        </w:tblPrEx>
        <w:trPr>
          <w:cantSplit/>
          <w:trHeight w:val="1826" w:hRule="atLeast"/>
          <w:jc w:val="center"/>
        </w:trPr>
        <w:tc>
          <w:tcPr>
            <w:tcW w:w="1107" w:type="dxa"/>
            <w:tcBorders>
              <w:top w:val="nil"/>
              <w:left w:val="single" w:color="auto" w:sz="8" w:space="0"/>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教学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效果</w:t>
            </w:r>
          </w:p>
        </w:tc>
        <w:tc>
          <w:tcPr>
            <w:tcW w:w="711"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15</w:t>
            </w:r>
          </w:p>
        </w:tc>
        <w:tc>
          <w:tcPr>
            <w:tcW w:w="7742"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1.有效达成教学目标，运用信息技术解决教学重难点问题或完成教学任务的作用突出，效果明显；</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2.课堂教学真实有效、气氛好，切实提高学生学习兴趣和学习能力。</w:t>
            </w:r>
          </w:p>
        </w:tc>
      </w:tr>
      <w:tr>
        <w:tblPrEx>
          <w:tblLayout w:type="fixed"/>
          <w:tblCellMar>
            <w:top w:w="0" w:type="dxa"/>
            <w:left w:w="0" w:type="dxa"/>
            <w:bottom w:w="0" w:type="dxa"/>
            <w:right w:w="0" w:type="dxa"/>
          </w:tblCellMar>
        </w:tblPrEx>
        <w:trPr>
          <w:cantSplit/>
          <w:trHeight w:val="1439" w:hRule="atLeast"/>
          <w:jc w:val="center"/>
        </w:trPr>
        <w:tc>
          <w:tcPr>
            <w:tcW w:w="1107" w:type="dxa"/>
            <w:tcBorders>
              <w:top w:val="nil"/>
              <w:left w:val="single" w:color="auto" w:sz="8" w:space="0"/>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特色</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创新</w:t>
            </w:r>
          </w:p>
        </w:tc>
        <w:tc>
          <w:tcPr>
            <w:tcW w:w="711"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15</w:t>
            </w:r>
          </w:p>
        </w:tc>
        <w:tc>
          <w:tcPr>
            <w:tcW w:w="7742"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1.理念先进，立意新颖，构思独特，技术领先；</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2.课堂教学效率高，成效好，特色鲜明，具有较强的示范性。</w:t>
            </w:r>
          </w:p>
        </w:tc>
      </w:tr>
    </w:tbl>
    <w:p>
      <w:pPr>
        <w:spacing w:before="156" w:beforeLines="50" w:after="156" w:afterLines="50"/>
        <w:jc w:val="center"/>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4.“信息化实训教学”赛项评分标准</w:t>
      </w:r>
    </w:p>
    <w:tbl>
      <w:tblPr>
        <w:tblStyle w:val="6"/>
        <w:tblW w:w="9060" w:type="dxa"/>
        <w:jc w:val="center"/>
        <w:tblInd w:w="0" w:type="dxa"/>
        <w:tblLayout w:type="fixed"/>
        <w:tblCellMar>
          <w:top w:w="0" w:type="dxa"/>
          <w:left w:w="0" w:type="dxa"/>
          <w:bottom w:w="0" w:type="dxa"/>
          <w:right w:w="0" w:type="dxa"/>
        </w:tblCellMar>
      </w:tblPr>
      <w:tblGrid>
        <w:gridCol w:w="1171"/>
        <w:gridCol w:w="753"/>
        <w:gridCol w:w="7136"/>
      </w:tblGrid>
      <w:tr>
        <w:tblPrEx>
          <w:tblLayout w:type="fixed"/>
          <w:tblCellMar>
            <w:top w:w="0" w:type="dxa"/>
            <w:left w:w="0" w:type="dxa"/>
            <w:bottom w:w="0" w:type="dxa"/>
            <w:right w:w="0" w:type="dxa"/>
          </w:tblCellMar>
        </w:tblPrEx>
        <w:trPr>
          <w:cantSplit/>
          <w:trHeight w:val="1120" w:hRule="atLeast"/>
          <w:jc w:val="center"/>
        </w:trPr>
        <w:tc>
          <w:tcPr>
            <w:tcW w:w="1171" w:type="dxa"/>
            <w:tcBorders>
              <w:top w:val="single" w:color="auto" w:sz="8" w:space="0"/>
              <w:left w:val="single" w:color="auto" w:sz="8" w:space="0"/>
              <w:bottom w:val="single" w:color="auto" w:sz="8" w:space="0"/>
              <w:right w:val="single" w:color="auto" w:sz="8" w:space="0"/>
            </w:tcBorders>
            <w:tcMar>
              <w:top w:w="85" w:type="dxa"/>
              <w:left w:w="108" w:type="dxa"/>
              <w:bottom w:w="85" w:type="dxa"/>
              <w:right w:w="108" w:type="dxa"/>
            </w:tcMar>
            <w:vAlign w:val="center"/>
          </w:tcPr>
          <w:p>
            <w:pPr>
              <w:adjustRightInd w:val="0"/>
              <w:snapToGrid w:val="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评比</w:t>
            </w:r>
          </w:p>
          <w:p>
            <w:pPr>
              <w:adjustRightInd w:val="0"/>
              <w:snapToGrid w:val="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指标</w:t>
            </w:r>
          </w:p>
        </w:tc>
        <w:tc>
          <w:tcPr>
            <w:tcW w:w="753" w:type="dxa"/>
            <w:tcBorders>
              <w:top w:val="single" w:color="auto" w:sz="8" w:space="0"/>
              <w:left w:val="nil"/>
              <w:bottom w:val="single" w:color="auto" w:sz="8" w:space="0"/>
              <w:right w:val="single" w:color="auto" w:sz="8" w:space="0"/>
            </w:tcBorders>
            <w:tcMar>
              <w:top w:w="85" w:type="dxa"/>
              <w:left w:w="108" w:type="dxa"/>
              <w:bottom w:w="85" w:type="dxa"/>
              <w:right w:w="108" w:type="dxa"/>
            </w:tcMar>
            <w:vAlign w:val="center"/>
          </w:tcPr>
          <w:p>
            <w:pPr>
              <w:adjustRightInd w:val="0"/>
              <w:snapToGrid w:val="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分值</w:t>
            </w:r>
          </w:p>
        </w:tc>
        <w:tc>
          <w:tcPr>
            <w:tcW w:w="7136" w:type="dxa"/>
            <w:tcBorders>
              <w:top w:val="single" w:color="auto" w:sz="8" w:space="0"/>
              <w:left w:val="nil"/>
              <w:bottom w:val="single" w:color="auto" w:sz="8" w:space="0"/>
              <w:right w:val="single" w:color="auto" w:sz="8" w:space="0"/>
            </w:tcBorders>
            <w:tcMar>
              <w:top w:w="85" w:type="dxa"/>
              <w:left w:w="108" w:type="dxa"/>
              <w:bottom w:w="85" w:type="dxa"/>
              <w:right w:w="108" w:type="dxa"/>
            </w:tcMar>
            <w:vAlign w:val="center"/>
          </w:tcPr>
          <w:p>
            <w:pPr>
              <w:adjustRightInd w:val="0"/>
              <w:snapToGrid w:val="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评比要素</w:t>
            </w:r>
          </w:p>
        </w:tc>
      </w:tr>
      <w:tr>
        <w:tblPrEx>
          <w:tblLayout w:type="fixed"/>
          <w:tblCellMar>
            <w:top w:w="0" w:type="dxa"/>
            <w:left w:w="0" w:type="dxa"/>
            <w:bottom w:w="0" w:type="dxa"/>
            <w:right w:w="0" w:type="dxa"/>
          </w:tblCellMar>
        </w:tblPrEx>
        <w:trPr>
          <w:cantSplit/>
          <w:trHeight w:val="3461" w:hRule="atLeast"/>
          <w:jc w:val="center"/>
        </w:trPr>
        <w:tc>
          <w:tcPr>
            <w:tcW w:w="1171" w:type="dxa"/>
            <w:tcBorders>
              <w:top w:val="nil"/>
              <w:left w:val="single" w:color="auto" w:sz="8" w:space="0"/>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总体</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设计</w:t>
            </w:r>
          </w:p>
        </w:tc>
        <w:tc>
          <w:tcPr>
            <w:tcW w:w="753"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30</w:t>
            </w:r>
          </w:p>
        </w:tc>
        <w:tc>
          <w:tcPr>
            <w:tcW w:w="7136"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1.教学目标明确，教学内容完整，符合技术技能人才培养要求；</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2.教学策略得当，突出实践性教学特点，符合职业院校学生认知规律和教学实际；</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3.合理选用信息技术、数字资源和信息化教学环境，系统优化教学过程；</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4.教案完整、规范。</w:t>
            </w:r>
          </w:p>
        </w:tc>
      </w:tr>
      <w:tr>
        <w:tblPrEx>
          <w:tblLayout w:type="fixed"/>
          <w:tblCellMar>
            <w:top w:w="0" w:type="dxa"/>
            <w:left w:w="0" w:type="dxa"/>
            <w:bottom w:w="0" w:type="dxa"/>
            <w:right w:w="0" w:type="dxa"/>
          </w:tblCellMar>
        </w:tblPrEx>
        <w:trPr>
          <w:cantSplit/>
          <w:trHeight w:val="3461" w:hRule="atLeast"/>
          <w:jc w:val="center"/>
        </w:trPr>
        <w:tc>
          <w:tcPr>
            <w:tcW w:w="1171" w:type="dxa"/>
            <w:tcBorders>
              <w:top w:val="nil"/>
              <w:left w:val="single" w:color="auto" w:sz="8" w:space="0"/>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教学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过程</w:t>
            </w:r>
          </w:p>
        </w:tc>
        <w:tc>
          <w:tcPr>
            <w:tcW w:w="753"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30</w:t>
            </w:r>
          </w:p>
        </w:tc>
        <w:tc>
          <w:tcPr>
            <w:tcW w:w="7136"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1.教学组织与方法得当，突出学生主体地位，体现“做中学、做中教”；</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2.教学互动流畅、合理，针对学习反馈及时调整教学策略；</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3.信息技术与数字资源运用充分、有效，教学内容呈现恰当，有效解决实训教学中重难点问题；</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4.教学考核与评价科学有效。</w:t>
            </w:r>
          </w:p>
        </w:tc>
      </w:tr>
      <w:tr>
        <w:tblPrEx>
          <w:tblLayout w:type="fixed"/>
          <w:tblCellMar>
            <w:top w:w="0" w:type="dxa"/>
            <w:left w:w="0" w:type="dxa"/>
            <w:bottom w:w="0" w:type="dxa"/>
            <w:right w:w="0" w:type="dxa"/>
          </w:tblCellMar>
        </w:tblPrEx>
        <w:trPr>
          <w:cantSplit/>
          <w:trHeight w:val="1609" w:hRule="atLeast"/>
          <w:jc w:val="center"/>
        </w:trPr>
        <w:tc>
          <w:tcPr>
            <w:tcW w:w="1171" w:type="dxa"/>
            <w:tcBorders>
              <w:top w:val="nil"/>
              <w:left w:val="single" w:color="auto" w:sz="8" w:space="0"/>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现场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操作</w:t>
            </w:r>
          </w:p>
        </w:tc>
        <w:tc>
          <w:tcPr>
            <w:tcW w:w="753"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25</w:t>
            </w:r>
          </w:p>
        </w:tc>
        <w:tc>
          <w:tcPr>
            <w:tcW w:w="7136"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1.现场讲解和设备操作配合恰当；</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2.完成规定任务，操作规范、熟练；</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3.展示良好的职业技能和职业素养。</w:t>
            </w:r>
          </w:p>
        </w:tc>
      </w:tr>
      <w:tr>
        <w:tblPrEx>
          <w:tblLayout w:type="fixed"/>
          <w:tblCellMar>
            <w:top w:w="0" w:type="dxa"/>
            <w:left w:w="0" w:type="dxa"/>
            <w:bottom w:w="0" w:type="dxa"/>
            <w:right w:w="0" w:type="dxa"/>
          </w:tblCellMar>
        </w:tblPrEx>
        <w:trPr>
          <w:cantSplit/>
          <w:trHeight w:val="1365" w:hRule="atLeast"/>
          <w:jc w:val="center"/>
        </w:trPr>
        <w:tc>
          <w:tcPr>
            <w:tcW w:w="1171" w:type="dxa"/>
            <w:tcBorders>
              <w:top w:val="nil"/>
              <w:left w:val="single" w:color="auto" w:sz="8" w:space="0"/>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特色</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创新</w:t>
            </w:r>
          </w:p>
        </w:tc>
        <w:tc>
          <w:tcPr>
            <w:tcW w:w="753"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15</w:t>
            </w:r>
          </w:p>
        </w:tc>
        <w:tc>
          <w:tcPr>
            <w:tcW w:w="7136" w:type="dxa"/>
            <w:tcBorders>
              <w:top w:val="nil"/>
              <w:left w:val="nil"/>
              <w:bottom w:val="single" w:color="auto" w:sz="8" w:space="0"/>
              <w:right w:val="single" w:color="auto" w:sz="8" w:space="0"/>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1.理念先进，立意新颖，构思独特，技术领先；</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2.广泛适用于实际教学，有较大推广价值。</w:t>
            </w:r>
          </w:p>
        </w:tc>
      </w:tr>
    </w:tbl>
    <w:p>
      <w:pPr>
        <w:autoSpaceDE w:val="0"/>
        <w:snapToGrid w:val="0"/>
        <w:spacing w:line="6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rPr>
          <w:rFonts w:hint="eastAsia" w:ascii="仿宋_GB2312" w:hAnsi="仿宋_GB2312" w:eastAsia="仿宋_GB2312" w:cs="仿宋_GB2312"/>
          <w:sz w:val="30"/>
          <w:szCs w:val="3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41F89"/>
    <w:rsid w:val="13C31248"/>
    <w:rsid w:val="196A2CFC"/>
    <w:rsid w:val="1E121570"/>
    <w:rsid w:val="29F32683"/>
    <w:rsid w:val="34C807E3"/>
    <w:rsid w:val="3FF1624E"/>
    <w:rsid w:val="5E297FFA"/>
    <w:rsid w:val="60DF5DA6"/>
    <w:rsid w:val="6713736D"/>
    <w:rsid w:val="692313EB"/>
    <w:rsid w:val="71D34D3E"/>
    <w:rsid w:val="76D94204"/>
    <w:rsid w:val="78A061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tbnn_title1"/>
    <w:basedOn w:val="4"/>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2017-03-20T03:40:18Z</cp:lastPrinted>
  <dcterms:modified xsi:type="dcterms:W3CDTF">2017-03-20T03:41:08Z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